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8A35" w14:textId="2B607582" w:rsidR="00824650" w:rsidRPr="00AF1686" w:rsidRDefault="00386506" w:rsidP="001420E4">
      <w:pPr>
        <w:ind w:left="2160" w:firstLine="720"/>
        <w:jc w:val="both"/>
        <w:rPr>
          <w:b/>
          <w:bCs/>
          <w:color w:val="000000"/>
          <w:sz w:val="22"/>
          <w:szCs w:val="22"/>
          <w:lang w:eastAsia="en-GB"/>
        </w:rPr>
      </w:pPr>
      <w:r w:rsidRPr="00AF1686">
        <w:rPr>
          <w:rFonts w:eastAsia="Calibri" w:cs="Times New Roman"/>
          <w:noProof/>
          <w:color w:val="004982"/>
          <w:sz w:val="22"/>
          <w:szCs w:val="22"/>
        </w:rPr>
        <mc:AlternateContent>
          <mc:Choice Requires="wps">
            <w:drawing>
              <wp:anchor distT="0" distB="0" distL="114300" distR="114300" simplePos="0" relativeHeight="251659264" behindDoc="0" locked="0" layoutInCell="1" allowOverlap="1" wp14:anchorId="085A9912" wp14:editId="7465181A">
                <wp:simplePos x="0" y="0"/>
                <wp:positionH relativeFrom="page">
                  <wp:posOffset>3810</wp:posOffset>
                </wp:positionH>
                <wp:positionV relativeFrom="paragraph">
                  <wp:posOffset>2209165</wp:posOffset>
                </wp:positionV>
                <wp:extent cx="7553325" cy="3467100"/>
                <wp:effectExtent l="0" t="0" r="9525" b="0"/>
                <wp:wrapNone/>
                <wp:docPr id="20" name="Rectangle 20"/>
                <wp:cNvGraphicFramePr/>
                <a:graphic xmlns:a="http://schemas.openxmlformats.org/drawingml/2006/main">
                  <a:graphicData uri="http://schemas.microsoft.com/office/word/2010/wordprocessingShape">
                    <wps:wsp>
                      <wps:cNvSpPr/>
                      <wps:spPr>
                        <a:xfrm>
                          <a:off x="0" y="0"/>
                          <a:ext cx="7553325" cy="3467100"/>
                        </a:xfrm>
                        <a:prstGeom prst="rect">
                          <a:avLst/>
                        </a:prstGeom>
                        <a:solidFill>
                          <a:srgbClr val="004982"/>
                        </a:solidFill>
                        <a:ln w="12700" cap="flat" cmpd="sng" algn="ctr">
                          <a:noFill/>
                          <a:prstDash val="solid"/>
                          <a:miter lim="800000"/>
                        </a:ln>
                        <a:effectLst/>
                      </wps:spPr>
                      <wps:txbx>
                        <w:txbxContent>
                          <w:p w14:paraId="39C2773C" w14:textId="6A9512FA" w:rsidR="00386506" w:rsidRPr="00386506" w:rsidRDefault="00386506" w:rsidP="00386506">
                            <w:pPr>
                              <w:jc w:val="center"/>
                              <w:rPr>
                                <w:sz w:val="96"/>
                                <w:szCs w:val="96"/>
                                <w:lang w:val="en-US"/>
                              </w:rPr>
                            </w:pPr>
                            <w:r>
                              <w:rPr>
                                <w:noProof/>
                              </w:rPr>
                              <w:drawing>
                                <wp:inline distT="0" distB="0" distL="0" distR="0" wp14:anchorId="463E4400" wp14:editId="0C8F846E">
                                  <wp:extent cx="1285200" cy="14508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200" cy="1450800"/>
                                          </a:xfrm>
                                          <a:prstGeom prst="rect">
                                            <a:avLst/>
                                          </a:prstGeom>
                                        </pic:spPr>
                                      </pic:pic>
                                    </a:graphicData>
                                  </a:graphic>
                                </wp:inline>
                              </w:drawing>
                            </w:r>
                            <w:r>
                              <w:rPr>
                                <w:sz w:val="72"/>
                                <w:szCs w:val="72"/>
                                <w:lang w:val="en-US"/>
                              </w:rPr>
                              <w:t xml:space="preserve"> </w:t>
                            </w:r>
                            <w:r w:rsidR="006F2737" w:rsidRPr="001420E4">
                              <w:rPr>
                                <w:sz w:val="44"/>
                                <w:szCs w:val="44"/>
                                <w:lang w:val="en-US"/>
                              </w:rPr>
                              <w:t>Whistleblowing</w:t>
                            </w:r>
                            <w:r w:rsidRPr="001420E4">
                              <w:rPr>
                                <w:sz w:val="44"/>
                                <w:szCs w:val="44"/>
                                <w:lang w:val="en-US"/>
                              </w:rPr>
                              <w:t xml:space="preserve">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A9912" id="Rectangle 20" o:spid="_x0000_s1026" style="position:absolute;left:0;text-align:left;margin-left:.3pt;margin-top:173.95pt;width:594.75pt;height:27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" fillcolor="#004982" stroked="f" strokeweight="1pt">
                <v:textbox>
                  <w:txbxContent>
                    <w:p w14:paraId="39C2773C" w14:textId="6A9512FA" w:rsidR="00386506" w:rsidRPr="00386506" w:rsidRDefault="00386506" w:rsidP="00386506">
                      <w:pPr>
                        <w:jc w:val="center"/>
                        <w:rPr>
                          <w:sz w:val="96"/>
                          <w:szCs w:val="96"/>
                          <w:lang w:val="en-US"/>
                        </w:rPr>
                      </w:pPr>
                      <w:r>
                        <w:rPr>
                          <w:noProof/>
                        </w:rPr>
                        <w:drawing>
                          <wp:inline distT="0" distB="0" distL="0" distR="0" wp14:anchorId="463E4400" wp14:editId="0C8F846E">
                            <wp:extent cx="1285200" cy="14508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200" cy="1450800"/>
                                    </a:xfrm>
                                    <a:prstGeom prst="rect">
                                      <a:avLst/>
                                    </a:prstGeom>
                                  </pic:spPr>
                                </pic:pic>
                              </a:graphicData>
                            </a:graphic>
                          </wp:inline>
                        </w:drawing>
                      </w:r>
                      <w:r>
                        <w:rPr>
                          <w:sz w:val="72"/>
                          <w:szCs w:val="72"/>
                          <w:lang w:val="en-US"/>
                        </w:rPr>
                        <w:t xml:space="preserve"> </w:t>
                      </w:r>
                      <w:r w:rsidR="006F2737" w:rsidRPr="001420E4">
                        <w:rPr>
                          <w:sz w:val="44"/>
                          <w:szCs w:val="44"/>
                          <w:lang w:val="en-US"/>
                        </w:rPr>
                        <w:t>Whistleblowing</w:t>
                      </w:r>
                      <w:r w:rsidRPr="001420E4">
                        <w:rPr>
                          <w:sz w:val="44"/>
                          <w:szCs w:val="44"/>
                          <w:lang w:val="en-US"/>
                        </w:rPr>
                        <w:t xml:space="preserve"> Policy</w:t>
                      </w:r>
                    </w:p>
                  </w:txbxContent>
                </v:textbox>
                <w10:wrap anchorx="page"/>
              </v:rect>
            </w:pict>
          </mc:Fallback>
        </mc:AlternateContent>
      </w:r>
      <w:r w:rsidR="00016477" w:rsidRPr="00AF1686">
        <w:rPr>
          <w:b/>
          <w:bCs/>
          <w:color w:val="000000"/>
          <w:sz w:val="22"/>
          <w:szCs w:val="22"/>
          <w:lang w:eastAsia="en-GB"/>
        </w:rPr>
        <w:t xml:space="preserve"> </w:t>
      </w:r>
    </w:p>
    <w:p w14:paraId="2E88BFF7" w14:textId="539A428C" w:rsidR="001508CB" w:rsidRPr="00AF1686" w:rsidRDefault="001508CB" w:rsidP="001420E4">
      <w:pPr>
        <w:jc w:val="both"/>
        <w:rPr>
          <w:sz w:val="22"/>
          <w:szCs w:val="22"/>
        </w:rPr>
      </w:pPr>
    </w:p>
    <w:p w14:paraId="5FF7E9F8" w14:textId="44D7CBA0" w:rsidR="001508CB" w:rsidRPr="00AF1686" w:rsidRDefault="001508CB" w:rsidP="001420E4">
      <w:pPr>
        <w:jc w:val="both"/>
        <w:rPr>
          <w:sz w:val="22"/>
          <w:szCs w:val="22"/>
        </w:rPr>
      </w:pPr>
    </w:p>
    <w:p w14:paraId="25AB8E9F" w14:textId="418B26E7" w:rsidR="001508CB" w:rsidRPr="00AF1686" w:rsidRDefault="001508CB" w:rsidP="001420E4">
      <w:pPr>
        <w:jc w:val="both"/>
        <w:rPr>
          <w:sz w:val="22"/>
          <w:szCs w:val="22"/>
        </w:rPr>
      </w:pPr>
    </w:p>
    <w:p w14:paraId="12604E27" w14:textId="13A2E6AB" w:rsidR="001508CB" w:rsidRPr="00AF1686" w:rsidRDefault="001508CB" w:rsidP="001420E4">
      <w:pPr>
        <w:jc w:val="both"/>
        <w:rPr>
          <w:sz w:val="22"/>
          <w:szCs w:val="22"/>
        </w:rPr>
      </w:pPr>
    </w:p>
    <w:p w14:paraId="6B77DFF2" w14:textId="70D73F19" w:rsidR="001508CB" w:rsidRPr="00AF1686" w:rsidRDefault="001508CB" w:rsidP="001420E4">
      <w:pPr>
        <w:jc w:val="both"/>
        <w:rPr>
          <w:sz w:val="22"/>
          <w:szCs w:val="22"/>
        </w:rPr>
      </w:pPr>
    </w:p>
    <w:p w14:paraId="0C9C8969" w14:textId="6C504733" w:rsidR="001508CB" w:rsidRPr="00AF1686" w:rsidRDefault="001508CB" w:rsidP="001420E4">
      <w:pPr>
        <w:jc w:val="both"/>
        <w:rPr>
          <w:sz w:val="22"/>
          <w:szCs w:val="22"/>
        </w:rPr>
      </w:pPr>
    </w:p>
    <w:p w14:paraId="5EC8695C" w14:textId="497ED5BF" w:rsidR="001508CB" w:rsidRPr="00AF1686" w:rsidRDefault="001508CB" w:rsidP="001420E4">
      <w:pPr>
        <w:jc w:val="both"/>
        <w:rPr>
          <w:sz w:val="22"/>
          <w:szCs w:val="22"/>
        </w:rPr>
      </w:pPr>
    </w:p>
    <w:p w14:paraId="21DAECBC" w14:textId="66B8B4CC" w:rsidR="001508CB" w:rsidRPr="00AF1686" w:rsidRDefault="001508CB" w:rsidP="001420E4">
      <w:pPr>
        <w:jc w:val="both"/>
        <w:rPr>
          <w:sz w:val="22"/>
          <w:szCs w:val="22"/>
        </w:rPr>
      </w:pPr>
    </w:p>
    <w:p w14:paraId="56FCE168" w14:textId="3E6030D1" w:rsidR="001508CB" w:rsidRPr="00AF1686" w:rsidRDefault="001508CB" w:rsidP="001420E4">
      <w:pPr>
        <w:jc w:val="both"/>
        <w:rPr>
          <w:sz w:val="22"/>
          <w:szCs w:val="22"/>
        </w:rPr>
      </w:pPr>
    </w:p>
    <w:p w14:paraId="0B3D9A32" w14:textId="55512297" w:rsidR="001508CB" w:rsidRPr="00AF1686" w:rsidRDefault="001508CB" w:rsidP="001420E4">
      <w:pPr>
        <w:jc w:val="both"/>
        <w:rPr>
          <w:sz w:val="22"/>
          <w:szCs w:val="22"/>
        </w:rPr>
      </w:pPr>
    </w:p>
    <w:p w14:paraId="24A8DE10" w14:textId="7D5BD22B" w:rsidR="001508CB" w:rsidRPr="00AF1686" w:rsidRDefault="001508CB" w:rsidP="001420E4">
      <w:pPr>
        <w:jc w:val="both"/>
        <w:rPr>
          <w:sz w:val="22"/>
          <w:szCs w:val="22"/>
        </w:rPr>
      </w:pPr>
    </w:p>
    <w:p w14:paraId="469AAAF7" w14:textId="369D9C93" w:rsidR="001508CB" w:rsidRPr="00AF1686" w:rsidRDefault="001508CB" w:rsidP="001420E4">
      <w:pPr>
        <w:jc w:val="both"/>
        <w:rPr>
          <w:sz w:val="22"/>
          <w:szCs w:val="22"/>
        </w:rPr>
      </w:pPr>
    </w:p>
    <w:p w14:paraId="578C7AE2" w14:textId="435314E1" w:rsidR="001508CB" w:rsidRPr="00AF1686" w:rsidRDefault="001508CB" w:rsidP="001420E4">
      <w:pPr>
        <w:jc w:val="both"/>
        <w:rPr>
          <w:sz w:val="22"/>
          <w:szCs w:val="22"/>
        </w:rPr>
      </w:pPr>
    </w:p>
    <w:p w14:paraId="6554E157" w14:textId="0455AC23" w:rsidR="001508CB" w:rsidRPr="00AF1686" w:rsidRDefault="001508CB" w:rsidP="001420E4">
      <w:pPr>
        <w:jc w:val="both"/>
        <w:rPr>
          <w:sz w:val="22"/>
          <w:szCs w:val="22"/>
        </w:rPr>
      </w:pPr>
    </w:p>
    <w:p w14:paraId="65B972E9" w14:textId="167A3754" w:rsidR="001508CB" w:rsidRPr="00AF1686" w:rsidRDefault="001508CB" w:rsidP="001420E4">
      <w:pPr>
        <w:jc w:val="both"/>
        <w:rPr>
          <w:sz w:val="22"/>
          <w:szCs w:val="22"/>
        </w:rPr>
      </w:pPr>
    </w:p>
    <w:p w14:paraId="69A94D75" w14:textId="1F0D6755" w:rsidR="001508CB" w:rsidRPr="00AF1686" w:rsidRDefault="001508CB" w:rsidP="001420E4">
      <w:pPr>
        <w:jc w:val="both"/>
        <w:rPr>
          <w:sz w:val="22"/>
          <w:szCs w:val="22"/>
        </w:rPr>
      </w:pPr>
    </w:p>
    <w:p w14:paraId="6041FBF2" w14:textId="5E6B6B79" w:rsidR="001508CB" w:rsidRPr="00AF1686" w:rsidRDefault="001508CB" w:rsidP="001420E4">
      <w:pPr>
        <w:jc w:val="both"/>
        <w:rPr>
          <w:sz w:val="22"/>
          <w:szCs w:val="22"/>
        </w:rPr>
      </w:pPr>
    </w:p>
    <w:p w14:paraId="5A06E4C3" w14:textId="5582E494" w:rsidR="001508CB" w:rsidRPr="00AF1686" w:rsidRDefault="001508CB" w:rsidP="001420E4">
      <w:pPr>
        <w:jc w:val="both"/>
        <w:rPr>
          <w:sz w:val="22"/>
          <w:szCs w:val="22"/>
        </w:rPr>
      </w:pPr>
    </w:p>
    <w:p w14:paraId="1987F682" w14:textId="10088C8E" w:rsidR="001508CB" w:rsidRPr="00AF1686" w:rsidRDefault="001508CB" w:rsidP="001420E4">
      <w:pPr>
        <w:jc w:val="both"/>
        <w:rPr>
          <w:sz w:val="22"/>
          <w:szCs w:val="22"/>
        </w:rPr>
      </w:pPr>
    </w:p>
    <w:p w14:paraId="3304E752" w14:textId="5E2B166B" w:rsidR="001508CB" w:rsidRPr="00AF1686" w:rsidRDefault="001508CB" w:rsidP="001420E4">
      <w:pPr>
        <w:jc w:val="both"/>
        <w:rPr>
          <w:sz w:val="22"/>
          <w:szCs w:val="22"/>
        </w:rPr>
      </w:pPr>
    </w:p>
    <w:p w14:paraId="3607FAB6" w14:textId="6B29EAE9" w:rsidR="001508CB" w:rsidRPr="00AF1686" w:rsidRDefault="001508CB" w:rsidP="001420E4">
      <w:pPr>
        <w:jc w:val="both"/>
        <w:rPr>
          <w:sz w:val="22"/>
          <w:szCs w:val="22"/>
        </w:rPr>
      </w:pPr>
    </w:p>
    <w:p w14:paraId="4225E1D5" w14:textId="42558584" w:rsidR="001508CB" w:rsidRPr="00AF1686" w:rsidRDefault="001508CB" w:rsidP="001420E4">
      <w:pPr>
        <w:jc w:val="both"/>
        <w:rPr>
          <w:sz w:val="22"/>
          <w:szCs w:val="22"/>
        </w:rPr>
      </w:pPr>
    </w:p>
    <w:p w14:paraId="65EFEA53" w14:textId="3FFD5608" w:rsidR="001508CB" w:rsidRPr="00AF1686" w:rsidRDefault="001508CB" w:rsidP="001420E4">
      <w:pPr>
        <w:jc w:val="both"/>
        <w:rPr>
          <w:sz w:val="22"/>
          <w:szCs w:val="22"/>
        </w:rPr>
      </w:pPr>
    </w:p>
    <w:p w14:paraId="74DA4F9D" w14:textId="762D2AA6" w:rsidR="001508CB" w:rsidRPr="00AF1686" w:rsidRDefault="001508CB" w:rsidP="001420E4">
      <w:pPr>
        <w:jc w:val="both"/>
        <w:rPr>
          <w:sz w:val="22"/>
          <w:szCs w:val="22"/>
        </w:rPr>
      </w:pPr>
    </w:p>
    <w:p w14:paraId="3DCA22CF" w14:textId="0EA62676" w:rsidR="001508CB" w:rsidRPr="00AF1686" w:rsidRDefault="001508CB" w:rsidP="001420E4">
      <w:pPr>
        <w:jc w:val="both"/>
        <w:rPr>
          <w:sz w:val="22"/>
          <w:szCs w:val="22"/>
        </w:rPr>
      </w:pPr>
    </w:p>
    <w:p w14:paraId="171E2661" w14:textId="7AB322D6" w:rsidR="001508CB" w:rsidRPr="00AF1686" w:rsidRDefault="001508CB" w:rsidP="001420E4">
      <w:pPr>
        <w:jc w:val="both"/>
        <w:rPr>
          <w:sz w:val="22"/>
          <w:szCs w:val="22"/>
        </w:rPr>
      </w:pPr>
    </w:p>
    <w:p w14:paraId="454C7682" w14:textId="216B425A" w:rsidR="001508CB" w:rsidRPr="00AF1686" w:rsidRDefault="001508CB" w:rsidP="001420E4">
      <w:pPr>
        <w:jc w:val="both"/>
        <w:rPr>
          <w:sz w:val="22"/>
          <w:szCs w:val="22"/>
        </w:rPr>
      </w:pPr>
    </w:p>
    <w:p w14:paraId="2ADD4A77" w14:textId="067E93EC" w:rsidR="001508CB" w:rsidRPr="00AF1686" w:rsidRDefault="001508CB" w:rsidP="001420E4">
      <w:pPr>
        <w:jc w:val="both"/>
        <w:rPr>
          <w:sz w:val="22"/>
          <w:szCs w:val="22"/>
        </w:rPr>
      </w:pPr>
    </w:p>
    <w:p w14:paraId="40FD6C4C" w14:textId="553075DA" w:rsidR="001508CB" w:rsidRPr="00AF1686" w:rsidRDefault="001508CB" w:rsidP="001420E4">
      <w:pPr>
        <w:jc w:val="both"/>
        <w:rPr>
          <w:sz w:val="22"/>
          <w:szCs w:val="22"/>
        </w:rPr>
      </w:pPr>
    </w:p>
    <w:p w14:paraId="3F2608A8" w14:textId="3126F46B" w:rsidR="001508CB" w:rsidRPr="00AF1686" w:rsidRDefault="001508CB" w:rsidP="001420E4">
      <w:pPr>
        <w:jc w:val="both"/>
        <w:rPr>
          <w:sz w:val="22"/>
          <w:szCs w:val="22"/>
        </w:rPr>
      </w:pPr>
    </w:p>
    <w:p w14:paraId="3E7B691D" w14:textId="1F7C58E0" w:rsidR="001508CB" w:rsidRPr="00AF1686" w:rsidRDefault="001508CB" w:rsidP="001420E4">
      <w:pPr>
        <w:jc w:val="both"/>
        <w:rPr>
          <w:sz w:val="22"/>
          <w:szCs w:val="22"/>
        </w:rPr>
      </w:pPr>
    </w:p>
    <w:p w14:paraId="006A4CF7" w14:textId="09174D11" w:rsidR="001508CB" w:rsidRPr="00AF1686" w:rsidRDefault="001508CB" w:rsidP="001420E4">
      <w:pPr>
        <w:jc w:val="both"/>
        <w:rPr>
          <w:sz w:val="22"/>
          <w:szCs w:val="22"/>
        </w:rPr>
      </w:pPr>
    </w:p>
    <w:p w14:paraId="5DF43488" w14:textId="7C9022F3" w:rsidR="001508CB" w:rsidRPr="00AF1686" w:rsidRDefault="001508CB" w:rsidP="001420E4">
      <w:pPr>
        <w:jc w:val="both"/>
        <w:rPr>
          <w:sz w:val="22"/>
          <w:szCs w:val="22"/>
        </w:rPr>
      </w:pPr>
    </w:p>
    <w:p w14:paraId="4099CF32" w14:textId="67AE8202" w:rsidR="001508CB" w:rsidRPr="00AF1686" w:rsidRDefault="001508CB" w:rsidP="001420E4">
      <w:pPr>
        <w:jc w:val="both"/>
        <w:rPr>
          <w:sz w:val="22"/>
          <w:szCs w:val="22"/>
        </w:rPr>
      </w:pPr>
    </w:p>
    <w:p w14:paraId="2CBE868E" w14:textId="243CCAC8" w:rsidR="001508CB" w:rsidRPr="00AF1686" w:rsidRDefault="001508CB" w:rsidP="001420E4">
      <w:pPr>
        <w:jc w:val="both"/>
        <w:rPr>
          <w:sz w:val="22"/>
          <w:szCs w:val="22"/>
        </w:rPr>
      </w:pPr>
    </w:p>
    <w:p w14:paraId="4B3C224A" w14:textId="5CFC3D3C" w:rsidR="001508CB" w:rsidRPr="00AF1686" w:rsidRDefault="001508CB" w:rsidP="001420E4">
      <w:pPr>
        <w:jc w:val="both"/>
        <w:rPr>
          <w:sz w:val="22"/>
          <w:szCs w:val="22"/>
        </w:rPr>
      </w:pPr>
    </w:p>
    <w:p w14:paraId="53C60428" w14:textId="6E9A58CE" w:rsidR="001508CB" w:rsidRPr="00AF1686" w:rsidRDefault="001508CB" w:rsidP="001420E4">
      <w:pPr>
        <w:jc w:val="both"/>
        <w:rPr>
          <w:sz w:val="22"/>
          <w:szCs w:val="22"/>
        </w:rPr>
      </w:pPr>
    </w:p>
    <w:p w14:paraId="324DD4B7" w14:textId="6EE65050" w:rsidR="001508CB" w:rsidRPr="00AF1686" w:rsidRDefault="001508CB" w:rsidP="001420E4">
      <w:pPr>
        <w:jc w:val="both"/>
        <w:rPr>
          <w:sz w:val="22"/>
          <w:szCs w:val="22"/>
        </w:rPr>
      </w:pPr>
    </w:p>
    <w:p w14:paraId="14A3F31E" w14:textId="70B288A8" w:rsidR="001508CB" w:rsidRPr="00AF1686" w:rsidRDefault="001508CB" w:rsidP="001420E4">
      <w:pPr>
        <w:jc w:val="both"/>
        <w:rPr>
          <w:sz w:val="22"/>
          <w:szCs w:val="22"/>
        </w:rPr>
      </w:pPr>
    </w:p>
    <w:p w14:paraId="0C318F2B" w14:textId="644E1B18" w:rsidR="001508CB" w:rsidRPr="00AF1686" w:rsidRDefault="001508CB" w:rsidP="001420E4">
      <w:pPr>
        <w:jc w:val="both"/>
        <w:rPr>
          <w:b/>
          <w:bCs/>
          <w:color w:val="000000"/>
          <w:sz w:val="22"/>
          <w:szCs w:val="22"/>
          <w:lang w:eastAsia="en-GB"/>
        </w:rPr>
      </w:pPr>
    </w:p>
    <w:p w14:paraId="23724395" w14:textId="5B0EC433" w:rsidR="001508CB" w:rsidRPr="00AF1686" w:rsidRDefault="001508CB" w:rsidP="001420E4">
      <w:pPr>
        <w:tabs>
          <w:tab w:val="left" w:pos="4005"/>
        </w:tabs>
        <w:jc w:val="both"/>
        <w:rPr>
          <w:sz w:val="22"/>
          <w:szCs w:val="22"/>
        </w:rPr>
      </w:pPr>
      <w:r w:rsidRPr="00AF1686">
        <w:rPr>
          <w:sz w:val="22"/>
          <w:szCs w:val="22"/>
        </w:rPr>
        <w:tab/>
      </w:r>
    </w:p>
    <w:p w14:paraId="6089B0DE" w14:textId="1D531469" w:rsidR="001508CB" w:rsidRPr="00AF1686" w:rsidRDefault="001508CB" w:rsidP="001420E4">
      <w:pPr>
        <w:tabs>
          <w:tab w:val="left" w:pos="4005"/>
        </w:tabs>
        <w:jc w:val="both"/>
        <w:rPr>
          <w:sz w:val="22"/>
          <w:szCs w:val="22"/>
        </w:rPr>
      </w:pPr>
    </w:p>
    <w:p w14:paraId="1742B8DE" w14:textId="75BAE361" w:rsidR="001508CB" w:rsidRPr="00AF1686" w:rsidRDefault="001508CB" w:rsidP="001420E4">
      <w:pPr>
        <w:tabs>
          <w:tab w:val="left" w:pos="4005"/>
        </w:tabs>
        <w:jc w:val="both"/>
        <w:rPr>
          <w:sz w:val="22"/>
          <w:szCs w:val="22"/>
        </w:rPr>
      </w:pPr>
    </w:p>
    <w:p w14:paraId="1DB1EC10" w14:textId="4DB9E3F9" w:rsidR="001508CB" w:rsidRPr="00AF1686" w:rsidRDefault="001508CB" w:rsidP="001420E4">
      <w:pPr>
        <w:tabs>
          <w:tab w:val="left" w:pos="4005"/>
        </w:tabs>
        <w:jc w:val="both"/>
        <w:rPr>
          <w:sz w:val="22"/>
          <w:szCs w:val="22"/>
        </w:rPr>
      </w:pPr>
    </w:p>
    <w:p w14:paraId="6F6BB034" w14:textId="1153B88C" w:rsidR="001508CB" w:rsidRPr="00AF1686" w:rsidRDefault="001508CB" w:rsidP="001420E4">
      <w:pPr>
        <w:tabs>
          <w:tab w:val="left" w:pos="4005"/>
        </w:tabs>
        <w:jc w:val="both"/>
        <w:rPr>
          <w:sz w:val="22"/>
          <w:szCs w:val="22"/>
        </w:rPr>
      </w:pPr>
    </w:p>
    <w:p w14:paraId="53DB9DDD" w14:textId="2B43FA4F" w:rsidR="001508CB" w:rsidRPr="00AF1686" w:rsidRDefault="001508CB" w:rsidP="001420E4">
      <w:pPr>
        <w:tabs>
          <w:tab w:val="left" w:pos="4005"/>
        </w:tabs>
        <w:jc w:val="both"/>
        <w:rPr>
          <w:sz w:val="22"/>
          <w:szCs w:val="22"/>
        </w:rPr>
      </w:pPr>
    </w:p>
    <w:p w14:paraId="69E66610" w14:textId="46E66AF3" w:rsidR="001508CB" w:rsidRPr="00AF1686" w:rsidRDefault="001508CB" w:rsidP="001420E4">
      <w:pPr>
        <w:tabs>
          <w:tab w:val="left" w:pos="4005"/>
        </w:tabs>
        <w:jc w:val="both"/>
        <w:rPr>
          <w:sz w:val="22"/>
          <w:szCs w:val="22"/>
        </w:rPr>
      </w:pPr>
    </w:p>
    <w:p w14:paraId="10A1BEC7" w14:textId="28208B3F" w:rsidR="001508CB" w:rsidRPr="00AF1686" w:rsidRDefault="001508CB" w:rsidP="001420E4">
      <w:pPr>
        <w:tabs>
          <w:tab w:val="left" w:pos="4005"/>
        </w:tabs>
        <w:jc w:val="both"/>
        <w:rPr>
          <w:sz w:val="22"/>
          <w:szCs w:val="22"/>
        </w:rPr>
      </w:pPr>
    </w:p>
    <w:p w14:paraId="038AB726" w14:textId="7BA0D650" w:rsidR="001508CB" w:rsidRPr="00AF1686" w:rsidRDefault="001508CB" w:rsidP="001420E4">
      <w:pPr>
        <w:tabs>
          <w:tab w:val="left" w:pos="4005"/>
        </w:tabs>
        <w:jc w:val="both"/>
        <w:rPr>
          <w:sz w:val="22"/>
          <w:szCs w:val="22"/>
        </w:rPr>
      </w:pPr>
    </w:p>
    <w:p w14:paraId="2CD385A2" w14:textId="66B41F9D" w:rsidR="006F2737" w:rsidRPr="003D48F5" w:rsidRDefault="006F2737" w:rsidP="001420E4">
      <w:pPr>
        <w:pStyle w:val="NoSpacing"/>
        <w:jc w:val="both"/>
      </w:pPr>
      <w:r w:rsidRPr="003D48F5">
        <w:t>Scottish Rugby is committed to achieving high standards of openness, probity</w:t>
      </w:r>
      <w:r>
        <w:t>,</w:t>
      </w:r>
      <w:r w:rsidRPr="003D48F5">
        <w:t xml:space="preserve"> and accountability in business and in the services we provide.  It is important </w:t>
      </w:r>
      <w:r>
        <w:t xml:space="preserve">that </w:t>
      </w:r>
      <w:r w:rsidRPr="003D48F5">
        <w:t>any fraud, misconduct, malpractice, corruption</w:t>
      </w:r>
      <w:r w:rsidR="000D7262">
        <w:t>,</w:t>
      </w:r>
      <w:r w:rsidRPr="003D48F5">
        <w:t xml:space="preserve"> or wrongdoing</w:t>
      </w:r>
      <w:r>
        <w:t xml:space="preserve"> is </w:t>
      </w:r>
      <w:r w:rsidRPr="003D48F5">
        <w:t>reported</w:t>
      </w:r>
      <w:r>
        <w:t>,</w:t>
      </w:r>
      <w:r w:rsidRPr="003D48F5">
        <w:t xml:space="preserve"> and we encourage our </w:t>
      </w:r>
      <w:r>
        <w:t xml:space="preserve">colleagues </w:t>
      </w:r>
      <w:r w:rsidRPr="003D48F5">
        <w:t xml:space="preserve">to report any concerns they may have about any aspect of our business.   </w:t>
      </w:r>
    </w:p>
    <w:p w14:paraId="49BA59DD" w14:textId="77777777" w:rsidR="006F2737" w:rsidRPr="003D48F5" w:rsidRDefault="006F2737" w:rsidP="001420E4">
      <w:pPr>
        <w:pStyle w:val="NoSpacing"/>
        <w:jc w:val="both"/>
      </w:pPr>
      <w:r w:rsidRPr="003D48F5">
        <w:t xml:space="preserve"> </w:t>
      </w:r>
    </w:p>
    <w:p w14:paraId="0D164E1A" w14:textId="7C678B81" w:rsidR="006F2737" w:rsidRPr="003D48F5" w:rsidRDefault="006F2737" w:rsidP="001420E4">
      <w:pPr>
        <w:pStyle w:val="NoSpacing"/>
        <w:jc w:val="both"/>
      </w:pPr>
      <w:r>
        <w:t xml:space="preserve">Any disclosure made, will be addressed </w:t>
      </w:r>
      <w:r w:rsidR="000D74CA">
        <w:t>considering</w:t>
      </w:r>
      <w:r>
        <w:t xml:space="preserve"> the legal protection offered by </w:t>
      </w:r>
      <w:r w:rsidRPr="003D48F5">
        <w:t>The Public Interest Disclosure Act 1998</w:t>
      </w:r>
      <w:r>
        <w:t xml:space="preserve">, ensuring no one is victimised or receives any </w:t>
      </w:r>
      <w:r w:rsidR="000D7262">
        <w:t xml:space="preserve">detriment in the workplace </w:t>
      </w:r>
      <w:proofErr w:type="gramStart"/>
      <w:r w:rsidR="000D7262">
        <w:t>as a result of</w:t>
      </w:r>
      <w:proofErr w:type="gramEnd"/>
      <w:r w:rsidR="000D7262">
        <w:t xml:space="preserve"> their disclosure. </w:t>
      </w:r>
      <w:r w:rsidRPr="003D48F5">
        <w:t xml:space="preserve"> </w:t>
      </w:r>
    </w:p>
    <w:p w14:paraId="2BBEF49E" w14:textId="77777777" w:rsidR="006F2737" w:rsidRPr="003D48F5" w:rsidRDefault="006F2737" w:rsidP="001420E4">
      <w:pPr>
        <w:pStyle w:val="NoSpacing"/>
        <w:jc w:val="both"/>
      </w:pPr>
    </w:p>
    <w:p w14:paraId="401DCFDD" w14:textId="318B2173" w:rsidR="006F2737" w:rsidRPr="003D48F5" w:rsidRDefault="006F2737" w:rsidP="001420E4">
      <w:pPr>
        <w:pStyle w:val="NoSpacing"/>
        <w:jc w:val="both"/>
      </w:pPr>
      <w:r w:rsidRPr="003D48F5">
        <w:t>This policy applies to all Scottish Rugby employees, workers</w:t>
      </w:r>
      <w:r w:rsidR="00952DF8">
        <w:t>,</w:t>
      </w:r>
      <w:r w:rsidRPr="003D48F5">
        <w:t xml:space="preserve"> and contractors who fall into any of the following categories: </w:t>
      </w:r>
    </w:p>
    <w:p w14:paraId="52BC159E" w14:textId="418EF83E" w:rsidR="006F2737" w:rsidRPr="003D48F5" w:rsidRDefault="006F2737" w:rsidP="001420E4">
      <w:pPr>
        <w:pStyle w:val="NoSpacing"/>
        <w:numPr>
          <w:ilvl w:val="0"/>
          <w:numId w:val="10"/>
        </w:numPr>
        <w:jc w:val="both"/>
      </w:pPr>
      <w:r w:rsidRPr="003D48F5">
        <w:t xml:space="preserve">Employed on a permanent or fixed term contract of </w:t>
      </w:r>
      <w:proofErr w:type="gramStart"/>
      <w:r w:rsidRPr="003D48F5">
        <w:t>employment</w:t>
      </w:r>
      <w:proofErr w:type="gramEnd"/>
      <w:r w:rsidRPr="003D48F5">
        <w:t xml:space="preserve"> </w:t>
      </w:r>
    </w:p>
    <w:p w14:paraId="1496416B" w14:textId="24D63698" w:rsidR="006F2737" w:rsidRPr="003D48F5" w:rsidRDefault="006F2737" w:rsidP="001420E4">
      <w:pPr>
        <w:pStyle w:val="NoSpacing"/>
        <w:numPr>
          <w:ilvl w:val="0"/>
          <w:numId w:val="10"/>
        </w:numPr>
        <w:jc w:val="both"/>
      </w:pPr>
      <w:r w:rsidRPr="003D48F5">
        <w:t xml:space="preserve">On secondment </w:t>
      </w:r>
    </w:p>
    <w:p w14:paraId="63585260" w14:textId="48F9376A" w:rsidR="006F2737" w:rsidRPr="003D48F5" w:rsidRDefault="006F2737" w:rsidP="001420E4">
      <w:pPr>
        <w:pStyle w:val="NoSpacing"/>
        <w:numPr>
          <w:ilvl w:val="0"/>
          <w:numId w:val="10"/>
        </w:numPr>
        <w:jc w:val="both"/>
      </w:pPr>
      <w:r w:rsidRPr="003D48F5">
        <w:t xml:space="preserve">On a temporary contract or employed through an agency to work for Scottish Rugby </w:t>
      </w:r>
    </w:p>
    <w:p w14:paraId="4E5D2908" w14:textId="1BCFC151" w:rsidR="006F2737" w:rsidRPr="003D48F5" w:rsidRDefault="006F2737" w:rsidP="001420E4">
      <w:pPr>
        <w:pStyle w:val="NoSpacing"/>
        <w:numPr>
          <w:ilvl w:val="0"/>
          <w:numId w:val="10"/>
        </w:numPr>
        <w:jc w:val="both"/>
      </w:pPr>
      <w:r w:rsidRPr="003D48F5">
        <w:t xml:space="preserve">An independent consultant for Scottish Rugby </w:t>
      </w:r>
    </w:p>
    <w:p w14:paraId="66FBF0EB" w14:textId="0C37F1CF" w:rsidR="006F2737" w:rsidRPr="003D48F5" w:rsidRDefault="006F2737" w:rsidP="001420E4">
      <w:pPr>
        <w:pStyle w:val="NoSpacing"/>
        <w:numPr>
          <w:ilvl w:val="0"/>
          <w:numId w:val="10"/>
        </w:numPr>
        <w:jc w:val="both"/>
      </w:pPr>
      <w:r w:rsidRPr="003D48F5">
        <w:t xml:space="preserve">Contractors and suppliers of services to Scottish Rugby </w:t>
      </w:r>
    </w:p>
    <w:p w14:paraId="6A565F7B" w14:textId="77777777" w:rsidR="006F2737" w:rsidRPr="003D48F5" w:rsidRDefault="006F2737" w:rsidP="001420E4">
      <w:pPr>
        <w:pStyle w:val="NoSpacing"/>
        <w:jc w:val="both"/>
      </w:pPr>
      <w:r w:rsidRPr="003D48F5">
        <w:t xml:space="preserve"> </w:t>
      </w:r>
    </w:p>
    <w:p w14:paraId="3E1BBA1A" w14:textId="5E74C710" w:rsidR="006F2737" w:rsidRPr="003D48F5" w:rsidRDefault="00952DF8" w:rsidP="001420E4">
      <w:pPr>
        <w:pStyle w:val="NoSpacing"/>
        <w:jc w:val="both"/>
      </w:pPr>
      <w:r>
        <w:t xml:space="preserve">Everyone covered by this policy has a duty to </w:t>
      </w:r>
      <w:r w:rsidR="006F2737" w:rsidRPr="003D48F5">
        <w:t xml:space="preserve">report genuine concerns they may have in relation to the following: </w:t>
      </w:r>
    </w:p>
    <w:p w14:paraId="48BF4392" w14:textId="54C7A74F" w:rsidR="006F2737" w:rsidRPr="003D48F5" w:rsidRDefault="006F2737" w:rsidP="001420E4">
      <w:pPr>
        <w:pStyle w:val="NoSpacing"/>
        <w:numPr>
          <w:ilvl w:val="0"/>
          <w:numId w:val="11"/>
        </w:numPr>
        <w:jc w:val="both"/>
      </w:pPr>
      <w:r w:rsidRPr="003D48F5">
        <w:t>a criminal offence has been committed, is being committed</w:t>
      </w:r>
      <w:r>
        <w:t xml:space="preserve">, </w:t>
      </w:r>
      <w:r w:rsidRPr="003D48F5">
        <w:t>or is likely to be committed (</w:t>
      </w:r>
      <w:r w:rsidR="000D74CA" w:rsidRPr="003D48F5">
        <w:t>e.g.,</w:t>
      </w:r>
      <w:r w:rsidRPr="003D48F5">
        <w:t xml:space="preserve"> theft, </w:t>
      </w:r>
      <w:proofErr w:type="gramStart"/>
      <w:r w:rsidRPr="003D48F5">
        <w:t>fraud</w:t>
      </w:r>
      <w:proofErr w:type="gramEnd"/>
      <w:r w:rsidRPr="003D48F5">
        <w:t xml:space="preserve"> and corruption) </w:t>
      </w:r>
    </w:p>
    <w:p w14:paraId="6C9026DB" w14:textId="4F32164C" w:rsidR="006F2737" w:rsidRPr="003D48F5" w:rsidRDefault="006F2737" w:rsidP="001420E4">
      <w:pPr>
        <w:pStyle w:val="NoSpacing"/>
        <w:numPr>
          <w:ilvl w:val="0"/>
          <w:numId w:val="11"/>
        </w:numPr>
        <w:jc w:val="both"/>
      </w:pPr>
      <w:r w:rsidRPr="003D48F5">
        <w:t>someone (including the organisation itself) has failed, is failing or is likely to fail to comply with a legal obligation (</w:t>
      </w:r>
      <w:r w:rsidR="000D74CA" w:rsidRPr="003D48F5">
        <w:t>e.g.,</w:t>
      </w:r>
      <w:r w:rsidRPr="003D48F5">
        <w:t xml:space="preserve"> statutory duties to insure, data protection obligations, reporting and notification requirements) </w:t>
      </w:r>
    </w:p>
    <w:p w14:paraId="712F9232" w14:textId="03CBD895" w:rsidR="006F2737" w:rsidRPr="003D48F5" w:rsidRDefault="006F2737" w:rsidP="001420E4">
      <w:pPr>
        <w:pStyle w:val="NoSpacing"/>
        <w:numPr>
          <w:ilvl w:val="0"/>
          <w:numId w:val="11"/>
        </w:numPr>
        <w:jc w:val="both"/>
      </w:pPr>
      <w:r w:rsidRPr="003D48F5">
        <w:t>a miscarriage of justice</w:t>
      </w:r>
    </w:p>
    <w:p w14:paraId="49088512" w14:textId="3E406D19" w:rsidR="006F2737" w:rsidRPr="003D48F5" w:rsidRDefault="006F2737" w:rsidP="001420E4">
      <w:pPr>
        <w:pStyle w:val="NoSpacing"/>
        <w:numPr>
          <w:ilvl w:val="0"/>
          <w:numId w:val="11"/>
        </w:numPr>
        <w:jc w:val="both"/>
      </w:pPr>
      <w:r w:rsidRPr="003D48F5">
        <w:t xml:space="preserve">an act that creates a danger or risk to health and safety or to the environment </w:t>
      </w:r>
    </w:p>
    <w:p w14:paraId="66E5D595" w14:textId="48A62EEC" w:rsidR="006F2737" w:rsidRPr="003D48F5" w:rsidRDefault="006F2737" w:rsidP="001420E4">
      <w:pPr>
        <w:pStyle w:val="NoSpacing"/>
        <w:numPr>
          <w:ilvl w:val="0"/>
          <w:numId w:val="11"/>
        </w:numPr>
        <w:jc w:val="both"/>
      </w:pPr>
      <w:r w:rsidRPr="003D48F5">
        <w:t xml:space="preserve">the cover up or concealment of any of the above in the workplace </w:t>
      </w:r>
    </w:p>
    <w:p w14:paraId="1A3FB15D" w14:textId="33406F8C" w:rsidR="006F2737" w:rsidRPr="003D48F5" w:rsidRDefault="006F2737" w:rsidP="001420E4">
      <w:pPr>
        <w:pStyle w:val="NoSpacing"/>
        <w:numPr>
          <w:ilvl w:val="0"/>
          <w:numId w:val="11"/>
        </w:numPr>
        <w:jc w:val="both"/>
      </w:pPr>
      <w:r w:rsidRPr="003D48F5">
        <w:t>other unethical conduct</w:t>
      </w:r>
    </w:p>
    <w:p w14:paraId="1883F668" w14:textId="77777777" w:rsidR="006F2737" w:rsidRPr="003D48F5" w:rsidRDefault="006F2737" w:rsidP="001420E4">
      <w:pPr>
        <w:pStyle w:val="NoSpacing"/>
        <w:jc w:val="both"/>
      </w:pPr>
      <w:r w:rsidRPr="003D48F5">
        <w:t xml:space="preserve"> </w:t>
      </w:r>
    </w:p>
    <w:p w14:paraId="1990C169" w14:textId="77777777" w:rsidR="006F2737" w:rsidRPr="003D48F5" w:rsidRDefault="006F2737" w:rsidP="001420E4">
      <w:pPr>
        <w:pStyle w:val="NoSpacing"/>
        <w:jc w:val="both"/>
      </w:pPr>
      <w:r w:rsidRPr="003D48F5">
        <w:t xml:space="preserve">These principles apply </w:t>
      </w:r>
      <w:proofErr w:type="gramStart"/>
      <w:r w:rsidRPr="003D48F5">
        <w:t>whether or not</w:t>
      </w:r>
      <w:proofErr w:type="gramEnd"/>
      <w:r w:rsidRPr="003D48F5">
        <w:t xml:space="preserve"> the information is confidential. </w:t>
      </w:r>
    </w:p>
    <w:p w14:paraId="61589383" w14:textId="77777777" w:rsidR="006F2737" w:rsidRPr="003D48F5" w:rsidRDefault="006F2737" w:rsidP="001420E4">
      <w:pPr>
        <w:pStyle w:val="NoSpacing"/>
        <w:jc w:val="both"/>
      </w:pPr>
      <w:r w:rsidRPr="003D48F5">
        <w:t xml:space="preserve"> </w:t>
      </w:r>
    </w:p>
    <w:p w14:paraId="1E1FF58A" w14:textId="77777777" w:rsidR="006F2737" w:rsidRPr="003D48F5" w:rsidRDefault="006F2737" w:rsidP="001420E4">
      <w:pPr>
        <w:pStyle w:val="NoSpacing"/>
        <w:jc w:val="both"/>
      </w:pPr>
      <w:r w:rsidRPr="003D48F5">
        <w:t xml:space="preserve">Although you should always think carefully before making a disclosure, it is not necessary to have proof before a disclosure is made.  </w:t>
      </w:r>
    </w:p>
    <w:p w14:paraId="4B1B66A8" w14:textId="77777777" w:rsidR="006F2737" w:rsidRPr="003D48F5" w:rsidRDefault="006F2737" w:rsidP="001420E4">
      <w:pPr>
        <w:pStyle w:val="NoSpacing"/>
        <w:jc w:val="both"/>
      </w:pPr>
    </w:p>
    <w:p w14:paraId="753E055B" w14:textId="77777777" w:rsidR="006F2737" w:rsidRPr="003D48F5" w:rsidRDefault="006F2737" w:rsidP="001420E4">
      <w:pPr>
        <w:pStyle w:val="NoSpacing"/>
        <w:jc w:val="both"/>
      </w:pPr>
      <w:r w:rsidRPr="003D48F5">
        <w:t>Disclosures falling within the categories mentioned above and which are made to the appropriate person within Scottish Rugby or prescribed external person or body in good faith, without personal gain and having a reasonable belief that one of these categories applies</w:t>
      </w:r>
      <w:r>
        <w:t>,</w:t>
      </w:r>
      <w:r w:rsidRPr="003D48F5">
        <w:t xml:space="preserve"> will be treated as “protected disclosures” for the purposes of the Public Interest Disclosure Act 1998 and this Policy. </w:t>
      </w:r>
    </w:p>
    <w:p w14:paraId="67607B74" w14:textId="77777777" w:rsidR="006F2737" w:rsidRPr="003D48F5" w:rsidRDefault="006F2737" w:rsidP="001420E4">
      <w:pPr>
        <w:pStyle w:val="NoSpacing"/>
        <w:jc w:val="both"/>
      </w:pPr>
      <w:r w:rsidRPr="003D48F5">
        <w:t xml:space="preserve"> </w:t>
      </w:r>
    </w:p>
    <w:p w14:paraId="1DCCE1DB" w14:textId="558FFD7F" w:rsidR="006F2737" w:rsidRDefault="006F2737" w:rsidP="001420E4">
      <w:pPr>
        <w:pStyle w:val="NoSpacing"/>
        <w:jc w:val="both"/>
      </w:pPr>
      <w:r w:rsidRPr="003D48F5">
        <w:t xml:space="preserve">If a disclosure qualifies as a “protected disclosure” then the employee or worker making it will be entitled to the safeguards set out below. </w:t>
      </w:r>
      <w:r w:rsidR="00391E26">
        <w:t xml:space="preserve">Scottish Rugby will: </w:t>
      </w:r>
    </w:p>
    <w:p w14:paraId="0FFCD76B" w14:textId="77777777" w:rsidR="00391E26" w:rsidRPr="003D48F5" w:rsidRDefault="00391E26" w:rsidP="001420E4">
      <w:pPr>
        <w:pStyle w:val="NoSpacing"/>
        <w:jc w:val="both"/>
      </w:pPr>
    </w:p>
    <w:p w14:paraId="79198D33" w14:textId="49FEF87F" w:rsidR="006F2737" w:rsidRPr="003D48F5" w:rsidRDefault="006F2737" w:rsidP="001420E4">
      <w:pPr>
        <w:pStyle w:val="NoSpacing"/>
        <w:numPr>
          <w:ilvl w:val="0"/>
          <w:numId w:val="12"/>
        </w:numPr>
        <w:jc w:val="both"/>
      </w:pPr>
      <w:r w:rsidRPr="003D48F5">
        <w:t xml:space="preserve">not allow the person raising the concern to be harassed or victimised for doing </w:t>
      </w:r>
      <w:proofErr w:type="gramStart"/>
      <w:r w:rsidRPr="003D48F5">
        <w:t>so</w:t>
      </w:r>
      <w:proofErr w:type="gramEnd"/>
      <w:r w:rsidRPr="003D48F5">
        <w:t xml:space="preserve"> </w:t>
      </w:r>
    </w:p>
    <w:p w14:paraId="644AC4ED" w14:textId="71E0D505" w:rsidR="006F2737" w:rsidRPr="003D48F5" w:rsidRDefault="006F2737" w:rsidP="001420E4">
      <w:pPr>
        <w:pStyle w:val="NoSpacing"/>
        <w:numPr>
          <w:ilvl w:val="0"/>
          <w:numId w:val="12"/>
        </w:numPr>
        <w:jc w:val="both"/>
      </w:pPr>
      <w:r w:rsidRPr="003D48F5">
        <w:t xml:space="preserve">treat harassment or victimisation of whistle-blowers as a serious matter, which may lead to disciplinary action being taken against any employee who engages in harassment or victimisation, which may include </w:t>
      </w:r>
      <w:proofErr w:type="gramStart"/>
      <w:r w:rsidRPr="003D48F5">
        <w:t>dismissal</w:t>
      </w:r>
      <w:proofErr w:type="gramEnd"/>
      <w:r w:rsidRPr="003D48F5">
        <w:t xml:space="preserve"> </w:t>
      </w:r>
    </w:p>
    <w:p w14:paraId="2371AB6A" w14:textId="59592703" w:rsidR="006F2737" w:rsidRPr="003D48F5" w:rsidRDefault="006F2737" w:rsidP="001420E4">
      <w:pPr>
        <w:pStyle w:val="NoSpacing"/>
        <w:numPr>
          <w:ilvl w:val="0"/>
          <w:numId w:val="12"/>
        </w:numPr>
        <w:jc w:val="both"/>
      </w:pPr>
      <w:r w:rsidRPr="003D48F5">
        <w:t xml:space="preserve">not attempt to conceal evidence of poor or unacceptable </w:t>
      </w:r>
      <w:proofErr w:type="gramStart"/>
      <w:r w:rsidRPr="003D48F5">
        <w:t>practice</w:t>
      </w:r>
      <w:proofErr w:type="gramEnd"/>
      <w:r w:rsidRPr="003D48F5">
        <w:t xml:space="preserve"> </w:t>
      </w:r>
    </w:p>
    <w:p w14:paraId="5AC9C9E3" w14:textId="4C3A8437" w:rsidR="006F2737" w:rsidRPr="003D48F5" w:rsidRDefault="006F2737" w:rsidP="001420E4">
      <w:pPr>
        <w:pStyle w:val="NoSpacing"/>
        <w:numPr>
          <w:ilvl w:val="0"/>
          <w:numId w:val="12"/>
        </w:numPr>
        <w:jc w:val="both"/>
      </w:pPr>
      <w:r w:rsidRPr="003D48F5">
        <w:t xml:space="preserve">take disciplinary action if an employee destroys or conceals evidence of poor or unacceptable practice or </w:t>
      </w:r>
      <w:proofErr w:type="gramStart"/>
      <w:r w:rsidRPr="003D48F5">
        <w:t>misconduct</w:t>
      </w:r>
      <w:proofErr w:type="gramEnd"/>
      <w:r w:rsidRPr="003D48F5">
        <w:t xml:space="preserve"> </w:t>
      </w:r>
    </w:p>
    <w:p w14:paraId="0A52F524" w14:textId="77777777" w:rsidR="006F2737" w:rsidRPr="003D48F5" w:rsidRDefault="006F2737" w:rsidP="001420E4">
      <w:pPr>
        <w:pStyle w:val="NoSpacing"/>
        <w:jc w:val="both"/>
      </w:pPr>
      <w:r w:rsidRPr="003D48F5">
        <w:t xml:space="preserve"> </w:t>
      </w:r>
    </w:p>
    <w:p w14:paraId="2B931A3B" w14:textId="77777777" w:rsidR="006F2737" w:rsidRPr="003D48F5" w:rsidRDefault="006F2737" w:rsidP="001420E4">
      <w:pPr>
        <w:pStyle w:val="NoSpacing"/>
        <w:jc w:val="both"/>
      </w:pPr>
      <w:r w:rsidRPr="003D48F5">
        <w:lastRenderedPageBreak/>
        <w:t xml:space="preserve">Employees should be aware that they may have a personal liability if they are found to have victimised a whistle-blower. </w:t>
      </w:r>
    </w:p>
    <w:p w14:paraId="45620D18" w14:textId="77777777" w:rsidR="006F2737" w:rsidRPr="003D48F5" w:rsidRDefault="006F2737" w:rsidP="001420E4">
      <w:pPr>
        <w:pStyle w:val="NoSpacing"/>
        <w:jc w:val="both"/>
      </w:pPr>
    </w:p>
    <w:p w14:paraId="5D9D2C61" w14:textId="79CA9BCA" w:rsidR="006F2737" w:rsidRPr="003D48F5" w:rsidRDefault="006F2737" w:rsidP="001420E4">
      <w:pPr>
        <w:pStyle w:val="NoSpacing"/>
        <w:jc w:val="both"/>
      </w:pPr>
      <w:r w:rsidRPr="003D48F5">
        <w:t xml:space="preserve">Please note that the whistleblowing procedure is not intended to cover workplace grievances. These should be raised under the procedures set out in Scottish Rugby’s </w:t>
      </w:r>
      <w:r w:rsidR="00391E26">
        <w:t>Grievance</w:t>
      </w:r>
      <w:r w:rsidRPr="003D48F5">
        <w:t xml:space="preserve"> Policy and Procedures.</w:t>
      </w:r>
    </w:p>
    <w:p w14:paraId="71BC7D32" w14:textId="77777777" w:rsidR="006F2737" w:rsidRPr="003D48F5" w:rsidRDefault="006F2737" w:rsidP="001420E4">
      <w:pPr>
        <w:pStyle w:val="NoSpacing"/>
        <w:jc w:val="both"/>
      </w:pPr>
    </w:p>
    <w:p w14:paraId="671BDFF2" w14:textId="77777777" w:rsidR="006F2737" w:rsidRPr="003D48F5" w:rsidRDefault="006F2737" w:rsidP="001420E4">
      <w:pPr>
        <w:pStyle w:val="Heading2"/>
        <w:jc w:val="both"/>
      </w:pPr>
      <w:r w:rsidRPr="003D48F5">
        <w:t xml:space="preserve">Procedure for making a </w:t>
      </w:r>
      <w:proofErr w:type="gramStart"/>
      <w:r w:rsidRPr="003D48F5">
        <w:t>disclosure</w:t>
      </w:r>
      <w:proofErr w:type="gramEnd"/>
      <w:r w:rsidRPr="003D48F5">
        <w:t xml:space="preserve"> </w:t>
      </w:r>
    </w:p>
    <w:p w14:paraId="336B3FA0" w14:textId="77777777" w:rsidR="006F2737" w:rsidRPr="003D48F5" w:rsidRDefault="006F2737" w:rsidP="001420E4">
      <w:pPr>
        <w:pStyle w:val="NoSpacing"/>
        <w:jc w:val="both"/>
      </w:pPr>
      <w:r w:rsidRPr="003D48F5">
        <w:t xml:space="preserve"> </w:t>
      </w:r>
    </w:p>
    <w:p w14:paraId="3474A881" w14:textId="77777777" w:rsidR="006F2737" w:rsidRPr="003D48F5" w:rsidRDefault="006F2737" w:rsidP="001420E4">
      <w:pPr>
        <w:pStyle w:val="Heading3"/>
        <w:jc w:val="both"/>
      </w:pPr>
      <w:r w:rsidRPr="003D48F5">
        <w:t xml:space="preserve">Stage 1 - Disclosure </w:t>
      </w:r>
    </w:p>
    <w:p w14:paraId="7A712C5C" w14:textId="6E2271B6" w:rsidR="006F2737" w:rsidRPr="003D48F5" w:rsidRDefault="006F2737" w:rsidP="001420E4">
      <w:pPr>
        <w:pStyle w:val="NoSpacing"/>
        <w:jc w:val="both"/>
      </w:pPr>
      <w:r w:rsidRPr="003D48F5">
        <w:t xml:space="preserve">If you have reasonable suspicions of </w:t>
      </w:r>
      <w:r w:rsidR="000D74CA" w:rsidRPr="003D48F5">
        <w:t>wrongdoing</w:t>
      </w:r>
      <w:r w:rsidRPr="003D48F5">
        <w:t xml:space="preserve"> at </w:t>
      </w:r>
      <w:proofErr w:type="gramStart"/>
      <w:r w:rsidRPr="003D48F5">
        <w:t>work</w:t>
      </w:r>
      <w:proofErr w:type="gramEnd"/>
      <w:r w:rsidRPr="003D48F5">
        <w:t xml:space="preserve"> you should initially report your concerns to your Line Manager or a member of the </w:t>
      </w:r>
      <w:r w:rsidR="00391E26">
        <w:t>People</w:t>
      </w:r>
      <w:r w:rsidRPr="003D48F5">
        <w:t xml:space="preserve"> team.  It is recognised that for some individuals raising a concern may be a daunting experience</w:t>
      </w:r>
      <w:r>
        <w:t>, therefore you m</w:t>
      </w:r>
      <w:r w:rsidRPr="003D48F5">
        <w:t>ay be accompanied by a companion at any stage of this procedure; this person must be an employee of Scottish Rugby.</w:t>
      </w:r>
    </w:p>
    <w:p w14:paraId="62BFBAE8" w14:textId="77777777" w:rsidR="006F2737" w:rsidRPr="003D48F5" w:rsidRDefault="006F2737" w:rsidP="001420E4">
      <w:pPr>
        <w:pStyle w:val="NoSpacing"/>
        <w:jc w:val="both"/>
      </w:pPr>
    </w:p>
    <w:p w14:paraId="70724F4A" w14:textId="77777777" w:rsidR="006F2737" w:rsidRPr="003D48F5" w:rsidRDefault="006F2737" w:rsidP="001420E4">
      <w:pPr>
        <w:pStyle w:val="NoSpacing"/>
        <w:jc w:val="both"/>
      </w:pPr>
      <w:r w:rsidRPr="003D48F5">
        <w:t xml:space="preserve">If for any reason you consider that you cannot approach the individuals </w:t>
      </w:r>
      <w:r>
        <w:t xml:space="preserve">stated above, </w:t>
      </w:r>
      <w:r w:rsidRPr="003D48F5">
        <w:t xml:space="preserve">please email </w:t>
      </w:r>
      <w:hyperlink r:id="rId9" w:history="1">
        <w:r w:rsidRPr="003D48F5">
          <w:rPr>
            <w:rStyle w:val="Hyperlink"/>
          </w:rPr>
          <w:t>whistleblowing@sru.org.uk</w:t>
        </w:r>
      </w:hyperlink>
      <w:r w:rsidRPr="003D48F5">
        <w:t xml:space="preserve"> </w:t>
      </w:r>
    </w:p>
    <w:p w14:paraId="6C58B122" w14:textId="77777777" w:rsidR="006F2737" w:rsidRPr="003D48F5" w:rsidRDefault="006F2737" w:rsidP="001420E4">
      <w:pPr>
        <w:pStyle w:val="NoSpacing"/>
        <w:jc w:val="both"/>
      </w:pPr>
    </w:p>
    <w:p w14:paraId="21904AE2" w14:textId="77777777" w:rsidR="006F2737" w:rsidRPr="003D48F5" w:rsidRDefault="006F2737" w:rsidP="001420E4">
      <w:pPr>
        <w:pStyle w:val="Heading3"/>
        <w:jc w:val="both"/>
      </w:pPr>
      <w:r w:rsidRPr="003D48F5">
        <w:t xml:space="preserve">Stage 2 - Investigation </w:t>
      </w:r>
    </w:p>
    <w:p w14:paraId="37957860" w14:textId="53F3D1C6" w:rsidR="006F2737" w:rsidRPr="003D48F5" w:rsidRDefault="006F2737" w:rsidP="001420E4">
      <w:pPr>
        <w:pStyle w:val="NoSpacing"/>
        <w:jc w:val="both"/>
      </w:pPr>
      <w:r w:rsidRPr="003D48F5">
        <w:t xml:space="preserve">Protected disclosures and other genuine concerns raised in good faith will be taken seriously.  All reported incidents will be investigated and will be dealt with in confidence, with only </w:t>
      </w:r>
      <w:r w:rsidR="00391E26">
        <w:t>those</w:t>
      </w:r>
      <w:r w:rsidRPr="003D48F5">
        <w:t xml:space="preserve"> who need to know, being informed.  The investigation will normally be conducted by a person separate from the concerns raised, such as another Manager or a member of the </w:t>
      </w:r>
      <w:r w:rsidR="00391E26">
        <w:t>People</w:t>
      </w:r>
      <w:r w:rsidRPr="003D48F5">
        <w:t xml:space="preserve"> Team. </w:t>
      </w:r>
    </w:p>
    <w:p w14:paraId="7C37BE28" w14:textId="77777777" w:rsidR="006F2737" w:rsidRPr="003D48F5" w:rsidRDefault="006F2737" w:rsidP="001420E4">
      <w:pPr>
        <w:pStyle w:val="NoSpacing"/>
        <w:jc w:val="both"/>
      </w:pPr>
      <w:r w:rsidRPr="003D48F5">
        <w:t xml:space="preserve"> </w:t>
      </w:r>
    </w:p>
    <w:p w14:paraId="01870915" w14:textId="77777777" w:rsidR="006F2737" w:rsidRPr="003D48F5" w:rsidRDefault="006F2737" w:rsidP="001420E4">
      <w:pPr>
        <w:pStyle w:val="NoSpacing"/>
        <w:jc w:val="both"/>
      </w:pPr>
      <w:r w:rsidRPr="003D48F5">
        <w:t xml:space="preserve">The person investigating the disclosure will establish and record the basis of the concerns that have been raised and establish what further actions are required.  This may include taking statements from other relevant Scottish Rugby </w:t>
      </w:r>
      <w:r>
        <w:t xml:space="preserve">colleagues </w:t>
      </w:r>
      <w:r w:rsidRPr="003D48F5">
        <w:t xml:space="preserve">or external partners and/or making further enquiries to establish facts or confirm details included in the allegations. </w:t>
      </w:r>
    </w:p>
    <w:p w14:paraId="34742A8B" w14:textId="77777777" w:rsidR="006F2737" w:rsidRPr="003D48F5" w:rsidRDefault="006F2737" w:rsidP="001420E4">
      <w:pPr>
        <w:pStyle w:val="NoSpacing"/>
        <w:jc w:val="both"/>
      </w:pPr>
      <w:r w:rsidRPr="003D48F5">
        <w:t xml:space="preserve"> </w:t>
      </w:r>
    </w:p>
    <w:p w14:paraId="6790EE03" w14:textId="5CE3E8D6" w:rsidR="006F2737" w:rsidRPr="003D48F5" w:rsidRDefault="006F2737" w:rsidP="001420E4">
      <w:pPr>
        <w:pStyle w:val="NoSpacing"/>
        <w:jc w:val="both"/>
      </w:pPr>
      <w:r w:rsidRPr="003D48F5">
        <w:t>Scottish Rugby may need to involve external regulatory bodies or refer the matter to them (</w:t>
      </w:r>
      <w:r w:rsidR="000D74CA" w:rsidRPr="003D48F5">
        <w:t>e.g.,</w:t>
      </w:r>
      <w:r w:rsidRPr="003D48F5">
        <w:t xml:space="preserve"> HMRC, the Police). </w:t>
      </w:r>
      <w:r>
        <w:t xml:space="preserve">Employees </w:t>
      </w:r>
      <w:r w:rsidRPr="003D48F5">
        <w:t xml:space="preserve">are expected to co-operate with this, if required. </w:t>
      </w:r>
    </w:p>
    <w:p w14:paraId="3E07D46D" w14:textId="77777777" w:rsidR="006F2737" w:rsidRPr="003D48F5" w:rsidRDefault="006F2737" w:rsidP="001420E4">
      <w:pPr>
        <w:pStyle w:val="NoSpacing"/>
        <w:jc w:val="both"/>
      </w:pPr>
      <w:r w:rsidRPr="003D48F5">
        <w:t xml:space="preserve"> </w:t>
      </w:r>
    </w:p>
    <w:p w14:paraId="4D6D27F9" w14:textId="77777777" w:rsidR="006F2737" w:rsidRPr="003D48F5" w:rsidRDefault="006F2737" w:rsidP="001420E4">
      <w:pPr>
        <w:pStyle w:val="Heading3"/>
        <w:jc w:val="both"/>
      </w:pPr>
      <w:r w:rsidRPr="003D48F5">
        <w:t xml:space="preserve">Stage 3 - Outcome </w:t>
      </w:r>
    </w:p>
    <w:p w14:paraId="6FA35525" w14:textId="12ADEDB5" w:rsidR="006F2737" w:rsidRPr="003D48F5" w:rsidRDefault="006F2737" w:rsidP="001420E4">
      <w:pPr>
        <w:pStyle w:val="NoSpacing"/>
        <w:jc w:val="both"/>
      </w:pPr>
      <w:r w:rsidRPr="003D48F5">
        <w:t xml:space="preserve">The individual raising the concern, if known, will normally be advised of the outcome of the investigation and Scottish Rugby’s proposed course of action (where appropriate) as soon as possible, and normally within two weeks of the date of the disclosure.  Where a longer </w:t>
      </w:r>
      <w:r w:rsidR="000D74CA" w:rsidRPr="003D48F5">
        <w:t>period</w:t>
      </w:r>
      <w:r w:rsidRPr="003D48F5">
        <w:t xml:space="preserve"> is needed, the </w:t>
      </w:r>
      <w:r>
        <w:t>individual</w:t>
      </w:r>
      <w:r w:rsidRPr="003D48F5">
        <w:t xml:space="preserve"> will be informed of this in writing. </w:t>
      </w:r>
    </w:p>
    <w:p w14:paraId="6806568A" w14:textId="77777777" w:rsidR="006F2737" w:rsidRPr="003D48F5" w:rsidRDefault="006F2737" w:rsidP="001420E4">
      <w:pPr>
        <w:pStyle w:val="NoSpacing"/>
        <w:jc w:val="both"/>
      </w:pPr>
      <w:r w:rsidRPr="003D48F5">
        <w:t xml:space="preserve"> </w:t>
      </w:r>
    </w:p>
    <w:p w14:paraId="5632CDC3" w14:textId="77777777" w:rsidR="006F2737" w:rsidRPr="003D48F5" w:rsidRDefault="006F2737" w:rsidP="001420E4">
      <w:pPr>
        <w:pStyle w:val="NoSpacing"/>
        <w:jc w:val="both"/>
      </w:pPr>
      <w:r w:rsidRPr="003D48F5">
        <w:t xml:space="preserve">Scottish Rugby is committed to openness and accountability however, depending on the nature of the disclosure and outcome of the investigation, the </w:t>
      </w:r>
      <w:r>
        <w:t>individual</w:t>
      </w:r>
      <w:r w:rsidRPr="003D48F5">
        <w:t xml:space="preserve"> making the disclosure may not receive every detail of the outcome/action in their response. </w:t>
      </w:r>
    </w:p>
    <w:p w14:paraId="760CA5AD" w14:textId="77777777" w:rsidR="006F2737" w:rsidRPr="003D48F5" w:rsidRDefault="006F2737" w:rsidP="001420E4">
      <w:pPr>
        <w:pStyle w:val="NoSpacing"/>
        <w:jc w:val="both"/>
      </w:pPr>
      <w:r w:rsidRPr="003D48F5">
        <w:t xml:space="preserve"> </w:t>
      </w:r>
    </w:p>
    <w:p w14:paraId="5E3CD701" w14:textId="77777777" w:rsidR="006F2737" w:rsidRPr="003D48F5" w:rsidRDefault="006F2737" w:rsidP="001420E4">
      <w:pPr>
        <w:pStyle w:val="Heading3"/>
        <w:jc w:val="both"/>
      </w:pPr>
      <w:r w:rsidRPr="003D48F5">
        <w:t xml:space="preserve">Stage 4 – Further Action </w:t>
      </w:r>
    </w:p>
    <w:p w14:paraId="5F1136A0" w14:textId="3BF29338" w:rsidR="006F2737" w:rsidRPr="003D48F5" w:rsidRDefault="006F2737" w:rsidP="001420E4">
      <w:pPr>
        <w:pStyle w:val="NoSpacing"/>
        <w:jc w:val="both"/>
      </w:pPr>
      <w:r w:rsidRPr="003D48F5">
        <w:t>The CEO will be informed of all reported disclosures, advised on the progress of the investigation</w:t>
      </w:r>
      <w:r>
        <w:t xml:space="preserve">, </w:t>
      </w:r>
      <w:r w:rsidRPr="003D48F5">
        <w:t xml:space="preserve">and notified about any further actions being taken. </w:t>
      </w:r>
    </w:p>
    <w:p w14:paraId="75EBDBD8" w14:textId="77777777" w:rsidR="00862CFC" w:rsidRPr="00862CFC" w:rsidRDefault="00862CFC" w:rsidP="001420E4">
      <w:pPr>
        <w:spacing w:after="5" w:line="250" w:lineRule="auto"/>
        <w:ind w:right="60"/>
        <w:jc w:val="both"/>
        <w:rPr>
          <w:rFonts w:eastAsia="Calibri"/>
          <w:color w:val="000000"/>
          <w:sz w:val="22"/>
          <w:szCs w:val="22"/>
          <w:lang w:eastAsia="en-GB"/>
        </w:rPr>
      </w:pPr>
    </w:p>
    <w:sectPr w:rsidR="00862CFC" w:rsidRPr="00862CFC" w:rsidSect="00BB102C">
      <w:head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9EA0" w14:textId="77777777" w:rsidR="00030A26" w:rsidRDefault="00030A26" w:rsidP="00614E4E">
      <w:r>
        <w:separator/>
      </w:r>
    </w:p>
  </w:endnote>
  <w:endnote w:type="continuationSeparator" w:id="0">
    <w:p w14:paraId="4ECD59D9" w14:textId="77777777" w:rsidR="00030A26" w:rsidRDefault="00030A26" w:rsidP="0061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Ind w:w="75" w:type="dxa"/>
      <w:tblLook w:val="04A0" w:firstRow="1" w:lastRow="0" w:firstColumn="1" w:lastColumn="0" w:noHBand="0" w:noVBand="1"/>
    </w:tblPr>
    <w:tblGrid>
      <w:gridCol w:w="2236"/>
      <w:gridCol w:w="2504"/>
      <w:gridCol w:w="2126"/>
      <w:gridCol w:w="2075"/>
    </w:tblGrid>
    <w:tr w:rsidR="00BB102C" w:rsidRPr="00386506" w14:paraId="4B3601D1" w14:textId="77777777" w:rsidTr="00F25C1B">
      <w:tc>
        <w:tcPr>
          <w:tcW w:w="2236" w:type="dxa"/>
        </w:tcPr>
        <w:p w14:paraId="7F97C0B0" w14:textId="77777777" w:rsidR="00BB102C" w:rsidRPr="00386506" w:rsidRDefault="00BB102C" w:rsidP="00BB102C">
          <w:pPr>
            <w:spacing w:after="5" w:line="250" w:lineRule="auto"/>
            <w:ind w:left="10" w:right="60" w:hanging="10"/>
            <w:rPr>
              <w:rFonts w:eastAsia="Calibri"/>
              <w:b/>
              <w:color w:val="000000"/>
              <w:szCs w:val="22"/>
            </w:rPr>
          </w:pPr>
          <w:r w:rsidRPr="00386506">
            <w:rPr>
              <w:rFonts w:eastAsia="Calibri"/>
              <w:b/>
              <w:color w:val="000000"/>
              <w:szCs w:val="22"/>
            </w:rPr>
            <w:t>Section</w:t>
          </w:r>
        </w:p>
      </w:tc>
      <w:tc>
        <w:tcPr>
          <w:tcW w:w="2504" w:type="dxa"/>
        </w:tcPr>
        <w:p w14:paraId="7BC82CA6" w14:textId="64B5DF54" w:rsidR="00BB102C" w:rsidRPr="00386506" w:rsidRDefault="00AF1BC4" w:rsidP="00BB102C">
          <w:pPr>
            <w:spacing w:after="5" w:line="250" w:lineRule="auto"/>
            <w:ind w:left="10" w:right="60" w:hanging="10"/>
            <w:rPr>
              <w:rFonts w:eastAsia="Calibri"/>
              <w:bCs/>
              <w:color w:val="000000"/>
              <w:szCs w:val="22"/>
            </w:rPr>
          </w:pPr>
          <w:r>
            <w:rPr>
              <w:rFonts w:eastAsia="Calibri"/>
              <w:bCs/>
              <w:color w:val="000000"/>
              <w:szCs w:val="22"/>
            </w:rPr>
            <w:t>Our People</w:t>
          </w:r>
        </w:p>
      </w:tc>
      <w:tc>
        <w:tcPr>
          <w:tcW w:w="2126" w:type="dxa"/>
        </w:tcPr>
        <w:p w14:paraId="4965E14D" w14:textId="77777777" w:rsidR="00BB102C" w:rsidRPr="00386506" w:rsidRDefault="00BB102C" w:rsidP="00BB102C">
          <w:pPr>
            <w:spacing w:after="5" w:line="250" w:lineRule="auto"/>
            <w:ind w:left="10" w:right="60" w:hanging="10"/>
            <w:rPr>
              <w:rFonts w:eastAsia="Calibri"/>
              <w:b/>
              <w:color w:val="000000"/>
              <w:szCs w:val="22"/>
            </w:rPr>
          </w:pPr>
          <w:r w:rsidRPr="00386506">
            <w:rPr>
              <w:rFonts w:eastAsia="Calibri"/>
              <w:b/>
              <w:color w:val="000000"/>
              <w:szCs w:val="22"/>
            </w:rPr>
            <w:t>Policy No.</w:t>
          </w:r>
        </w:p>
      </w:tc>
      <w:tc>
        <w:tcPr>
          <w:tcW w:w="2075" w:type="dxa"/>
        </w:tcPr>
        <w:p w14:paraId="648130B2" w14:textId="11B72305" w:rsidR="00BB102C" w:rsidRPr="00386506" w:rsidRDefault="000D7262" w:rsidP="00BB102C">
          <w:pPr>
            <w:spacing w:after="5" w:line="250" w:lineRule="auto"/>
            <w:ind w:left="10" w:right="60" w:hanging="10"/>
            <w:rPr>
              <w:rFonts w:eastAsia="Calibri"/>
              <w:bCs/>
              <w:color w:val="000000"/>
              <w:szCs w:val="22"/>
            </w:rPr>
          </w:pPr>
          <w:r>
            <w:rPr>
              <w:rFonts w:eastAsia="Calibri"/>
              <w:bCs/>
              <w:color w:val="000000"/>
              <w:szCs w:val="22"/>
            </w:rPr>
            <w:t>P37</w:t>
          </w:r>
        </w:p>
      </w:tc>
    </w:tr>
    <w:tr w:rsidR="00BB102C" w:rsidRPr="00386506" w14:paraId="20575D4E" w14:textId="77777777" w:rsidTr="00F25C1B">
      <w:tc>
        <w:tcPr>
          <w:tcW w:w="2236" w:type="dxa"/>
        </w:tcPr>
        <w:p w14:paraId="71F09101" w14:textId="77777777" w:rsidR="00BB102C" w:rsidRPr="00386506" w:rsidRDefault="00BB102C" w:rsidP="00BB102C">
          <w:pPr>
            <w:spacing w:after="5" w:line="250" w:lineRule="auto"/>
            <w:ind w:left="10" w:right="60" w:hanging="10"/>
            <w:rPr>
              <w:rFonts w:eastAsia="Calibri"/>
              <w:b/>
              <w:color w:val="000000"/>
              <w:szCs w:val="22"/>
            </w:rPr>
          </w:pPr>
          <w:r w:rsidRPr="00386506">
            <w:rPr>
              <w:rFonts w:eastAsia="Calibri"/>
              <w:b/>
              <w:color w:val="000000"/>
              <w:szCs w:val="22"/>
            </w:rPr>
            <w:t>Title</w:t>
          </w:r>
        </w:p>
      </w:tc>
      <w:tc>
        <w:tcPr>
          <w:tcW w:w="2504" w:type="dxa"/>
        </w:tcPr>
        <w:p w14:paraId="34F7CAA6" w14:textId="66F9B8C2" w:rsidR="00BB102C" w:rsidRPr="00386506" w:rsidRDefault="00F25C1B" w:rsidP="00BB102C">
          <w:pPr>
            <w:spacing w:after="5" w:line="250" w:lineRule="auto"/>
            <w:ind w:left="10" w:right="60" w:hanging="10"/>
            <w:rPr>
              <w:rFonts w:eastAsia="Calibri"/>
              <w:bCs/>
              <w:color w:val="000000"/>
              <w:szCs w:val="22"/>
            </w:rPr>
          </w:pPr>
          <w:r>
            <w:rPr>
              <w:rFonts w:eastAsia="Calibri"/>
              <w:bCs/>
              <w:color w:val="000000"/>
              <w:szCs w:val="22"/>
            </w:rPr>
            <w:t>Whistleblowing</w:t>
          </w:r>
          <w:r w:rsidR="00AF1BC4">
            <w:rPr>
              <w:rFonts w:eastAsia="Calibri"/>
              <w:bCs/>
              <w:color w:val="000000"/>
              <w:szCs w:val="22"/>
            </w:rPr>
            <w:t xml:space="preserve"> Policy</w:t>
          </w:r>
        </w:p>
      </w:tc>
      <w:tc>
        <w:tcPr>
          <w:tcW w:w="2126" w:type="dxa"/>
        </w:tcPr>
        <w:p w14:paraId="212622BD" w14:textId="77777777" w:rsidR="00BB102C" w:rsidRPr="00386506" w:rsidRDefault="00BB102C" w:rsidP="00BB102C">
          <w:pPr>
            <w:spacing w:after="5" w:line="250" w:lineRule="auto"/>
            <w:ind w:left="10" w:right="60" w:hanging="10"/>
            <w:rPr>
              <w:rFonts w:eastAsia="Calibri"/>
              <w:b/>
              <w:color w:val="000000"/>
              <w:szCs w:val="22"/>
            </w:rPr>
          </w:pPr>
          <w:r w:rsidRPr="00386506">
            <w:rPr>
              <w:rFonts w:eastAsia="Calibri"/>
              <w:b/>
              <w:color w:val="000000"/>
              <w:szCs w:val="22"/>
            </w:rPr>
            <w:t>Version No.</w:t>
          </w:r>
        </w:p>
      </w:tc>
      <w:tc>
        <w:tcPr>
          <w:tcW w:w="2075" w:type="dxa"/>
        </w:tcPr>
        <w:p w14:paraId="4F0F7DBB" w14:textId="01E30FFE" w:rsidR="00BB102C" w:rsidRPr="00386506" w:rsidRDefault="00BB102C" w:rsidP="00BB102C">
          <w:pPr>
            <w:spacing w:after="5" w:line="250" w:lineRule="auto"/>
            <w:ind w:left="10" w:right="60" w:hanging="10"/>
            <w:rPr>
              <w:rFonts w:eastAsia="Calibri"/>
              <w:bCs/>
              <w:color w:val="000000"/>
              <w:szCs w:val="22"/>
            </w:rPr>
          </w:pPr>
          <w:r w:rsidRPr="00386506">
            <w:rPr>
              <w:rFonts w:eastAsia="Calibri"/>
              <w:bCs/>
              <w:color w:val="000000"/>
              <w:szCs w:val="22"/>
            </w:rPr>
            <w:t>V</w:t>
          </w:r>
          <w:r w:rsidR="000D7262">
            <w:rPr>
              <w:rFonts w:eastAsia="Calibri"/>
              <w:bCs/>
              <w:color w:val="000000"/>
              <w:szCs w:val="22"/>
            </w:rPr>
            <w:t>6</w:t>
          </w:r>
          <w:r w:rsidRPr="00386506">
            <w:rPr>
              <w:rFonts w:eastAsia="Calibri"/>
              <w:bCs/>
              <w:color w:val="000000"/>
              <w:szCs w:val="22"/>
            </w:rPr>
            <w:t xml:space="preserve"> </w:t>
          </w:r>
          <w:r w:rsidR="000D7262">
            <w:rPr>
              <w:rFonts w:eastAsia="Calibri"/>
              <w:bCs/>
              <w:color w:val="000000"/>
              <w:szCs w:val="22"/>
            </w:rPr>
            <w:t>(Jan 2022</w:t>
          </w:r>
          <w:r w:rsidRPr="00386506">
            <w:rPr>
              <w:rFonts w:eastAsia="Calibri"/>
              <w:bCs/>
              <w:color w:val="000000"/>
              <w:szCs w:val="22"/>
            </w:rPr>
            <w:t>)</w:t>
          </w:r>
        </w:p>
      </w:tc>
    </w:tr>
    <w:tr w:rsidR="00BB102C" w:rsidRPr="00386506" w14:paraId="21A358C0" w14:textId="77777777" w:rsidTr="00F25C1B">
      <w:tc>
        <w:tcPr>
          <w:tcW w:w="2236" w:type="dxa"/>
        </w:tcPr>
        <w:p w14:paraId="52A3422A" w14:textId="77777777" w:rsidR="00BB102C" w:rsidRPr="00386506" w:rsidRDefault="00BB102C" w:rsidP="00BB102C">
          <w:pPr>
            <w:spacing w:after="5" w:line="250" w:lineRule="auto"/>
            <w:ind w:left="10" w:right="60" w:hanging="10"/>
            <w:rPr>
              <w:rFonts w:eastAsia="Calibri"/>
              <w:b/>
              <w:color w:val="000000"/>
              <w:szCs w:val="22"/>
            </w:rPr>
          </w:pPr>
          <w:r w:rsidRPr="00386506">
            <w:rPr>
              <w:rFonts w:eastAsia="Calibri"/>
              <w:b/>
              <w:color w:val="000000"/>
              <w:szCs w:val="22"/>
            </w:rPr>
            <w:t>Originally launched</w:t>
          </w:r>
        </w:p>
      </w:tc>
      <w:tc>
        <w:tcPr>
          <w:tcW w:w="2504" w:type="dxa"/>
        </w:tcPr>
        <w:p w14:paraId="5C2E3460" w14:textId="1555EA17" w:rsidR="00BB102C" w:rsidRPr="00386506" w:rsidRDefault="000D7262" w:rsidP="00BB102C">
          <w:pPr>
            <w:spacing w:after="5" w:line="250" w:lineRule="auto"/>
            <w:ind w:left="10" w:right="60" w:hanging="10"/>
            <w:rPr>
              <w:rFonts w:eastAsia="Calibri"/>
              <w:bCs/>
              <w:color w:val="000000"/>
              <w:szCs w:val="22"/>
            </w:rPr>
          </w:pPr>
          <w:r>
            <w:rPr>
              <w:rFonts w:eastAsia="Calibri"/>
              <w:bCs/>
              <w:color w:val="000000"/>
              <w:szCs w:val="22"/>
            </w:rPr>
            <w:t>June 2013</w:t>
          </w:r>
        </w:p>
      </w:tc>
      <w:tc>
        <w:tcPr>
          <w:tcW w:w="2126" w:type="dxa"/>
        </w:tcPr>
        <w:p w14:paraId="739C2F06" w14:textId="77777777" w:rsidR="00BB102C" w:rsidRPr="00386506" w:rsidRDefault="00BB102C" w:rsidP="00BB102C">
          <w:pPr>
            <w:spacing w:after="5" w:line="250" w:lineRule="auto"/>
            <w:ind w:left="10" w:right="60" w:hanging="10"/>
            <w:rPr>
              <w:rFonts w:eastAsia="Calibri"/>
              <w:b/>
              <w:color w:val="000000"/>
              <w:szCs w:val="22"/>
            </w:rPr>
          </w:pPr>
          <w:r w:rsidRPr="00386506">
            <w:rPr>
              <w:rFonts w:eastAsia="Calibri"/>
              <w:b/>
              <w:color w:val="000000"/>
              <w:szCs w:val="22"/>
            </w:rPr>
            <w:t>Next Review Date</w:t>
          </w:r>
        </w:p>
      </w:tc>
      <w:tc>
        <w:tcPr>
          <w:tcW w:w="2075" w:type="dxa"/>
        </w:tcPr>
        <w:p w14:paraId="49C4E573" w14:textId="64069DFD" w:rsidR="00BB102C" w:rsidRPr="00386506" w:rsidRDefault="001420E4" w:rsidP="00BB102C">
          <w:pPr>
            <w:spacing w:after="5" w:line="250" w:lineRule="auto"/>
            <w:ind w:left="10" w:right="60" w:hanging="10"/>
            <w:rPr>
              <w:rFonts w:eastAsia="Calibri"/>
              <w:bCs/>
              <w:color w:val="000000"/>
              <w:szCs w:val="22"/>
            </w:rPr>
          </w:pPr>
          <w:r>
            <w:rPr>
              <w:rFonts w:eastAsia="Calibri"/>
              <w:bCs/>
              <w:color w:val="000000"/>
              <w:szCs w:val="22"/>
            </w:rPr>
            <w:t>October 202</w:t>
          </w:r>
          <w:r w:rsidR="00B851FB">
            <w:rPr>
              <w:rFonts w:eastAsia="Calibri"/>
              <w:bCs/>
              <w:color w:val="000000"/>
              <w:szCs w:val="22"/>
            </w:rPr>
            <w:t>5</w:t>
          </w:r>
        </w:p>
      </w:tc>
    </w:tr>
  </w:tbl>
  <w:p w14:paraId="494DDFAE" w14:textId="77777777" w:rsidR="00BB102C" w:rsidRDefault="00BB1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400F7" w14:textId="77777777" w:rsidR="00030A26" w:rsidRDefault="00030A26" w:rsidP="00614E4E">
      <w:r>
        <w:separator/>
      </w:r>
    </w:p>
  </w:footnote>
  <w:footnote w:type="continuationSeparator" w:id="0">
    <w:p w14:paraId="752AB82D" w14:textId="77777777" w:rsidR="00030A26" w:rsidRDefault="00030A26" w:rsidP="0061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9501" w14:textId="1FCEECD4" w:rsidR="00614E4E" w:rsidRDefault="00614E4E" w:rsidP="00386506">
    <w:pPr>
      <w:pStyle w:val="Heading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32977"/>
    <w:multiLevelType w:val="hybridMultilevel"/>
    <w:tmpl w:val="C67C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A1B6F"/>
    <w:multiLevelType w:val="hybridMultilevel"/>
    <w:tmpl w:val="420ACE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A3368F"/>
    <w:multiLevelType w:val="hybridMultilevel"/>
    <w:tmpl w:val="C2EA4638"/>
    <w:lvl w:ilvl="0" w:tplc="C1F0A0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16438"/>
    <w:multiLevelType w:val="hybridMultilevel"/>
    <w:tmpl w:val="0E846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C264C8"/>
    <w:multiLevelType w:val="hybridMultilevel"/>
    <w:tmpl w:val="67220962"/>
    <w:lvl w:ilvl="0" w:tplc="A39E5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627466"/>
    <w:multiLevelType w:val="hybridMultilevel"/>
    <w:tmpl w:val="9D16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C10D3"/>
    <w:multiLevelType w:val="hybridMultilevel"/>
    <w:tmpl w:val="328A3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627FAD"/>
    <w:multiLevelType w:val="hybridMultilevel"/>
    <w:tmpl w:val="D5A82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9429B"/>
    <w:multiLevelType w:val="hybridMultilevel"/>
    <w:tmpl w:val="094C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0E262E"/>
    <w:multiLevelType w:val="hybridMultilevel"/>
    <w:tmpl w:val="849CF6D0"/>
    <w:lvl w:ilvl="0" w:tplc="EE6C5F2C">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9649DB"/>
    <w:multiLevelType w:val="hybridMultilevel"/>
    <w:tmpl w:val="5A085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3B18B9"/>
    <w:multiLevelType w:val="hybridMultilevel"/>
    <w:tmpl w:val="38CC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618282">
    <w:abstractNumId w:val="4"/>
  </w:num>
  <w:num w:numId="2" w16cid:durableId="1967353159">
    <w:abstractNumId w:val="9"/>
  </w:num>
  <w:num w:numId="3" w16cid:durableId="2003121426">
    <w:abstractNumId w:val="0"/>
  </w:num>
  <w:num w:numId="4" w16cid:durableId="1986544131">
    <w:abstractNumId w:val="6"/>
  </w:num>
  <w:num w:numId="5" w16cid:durableId="406927375">
    <w:abstractNumId w:val="3"/>
  </w:num>
  <w:num w:numId="6" w16cid:durableId="1278223728">
    <w:abstractNumId w:val="11"/>
  </w:num>
  <w:num w:numId="7" w16cid:durableId="998116239">
    <w:abstractNumId w:val="7"/>
  </w:num>
  <w:num w:numId="8" w16cid:durableId="1485583437">
    <w:abstractNumId w:val="2"/>
  </w:num>
  <w:num w:numId="9" w16cid:durableId="973366921">
    <w:abstractNumId w:val="1"/>
  </w:num>
  <w:num w:numId="10" w16cid:durableId="701706945">
    <w:abstractNumId w:val="8"/>
  </w:num>
  <w:num w:numId="11" w16cid:durableId="1788160675">
    <w:abstractNumId w:val="5"/>
  </w:num>
  <w:num w:numId="12" w16cid:durableId="1679155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B9"/>
    <w:rsid w:val="00016477"/>
    <w:rsid w:val="00022079"/>
    <w:rsid w:val="00030A26"/>
    <w:rsid w:val="00030D4F"/>
    <w:rsid w:val="00062559"/>
    <w:rsid w:val="00076655"/>
    <w:rsid w:val="000926E4"/>
    <w:rsid w:val="000C278E"/>
    <w:rsid w:val="000C5DF4"/>
    <w:rsid w:val="000D7262"/>
    <w:rsid w:val="000D74CA"/>
    <w:rsid w:val="00132CEA"/>
    <w:rsid w:val="001420E4"/>
    <w:rsid w:val="001460CB"/>
    <w:rsid w:val="001508CB"/>
    <w:rsid w:val="00172D70"/>
    <w:rsid w:val="00195FF2"/>
    <w:rsid w:val="001B72B1"/>
    <w:rsid w:val="00242BF6"/>
    <w:rsid w:val="00253578"/>
    <w:rsid w:val="00262AA5"/>
    <w:rsid w:val="0028365A"/>
    <w:rsid w:val="002C4B67"/>
    <w:rsid w:val="002F1D81"/>
    <w:rsid w:val="00386506"/>
    <w:rsid w:val="00391E26"/>
    <w:rsid w:val="003B473E"/>
    <w:rsid w:val="003B6B89"/>
    <w:rsid w:val="00402A62"/>
    <w:rsid w:val="00414AE9"/>
    <w:rsid w:val="004B091E"/>
    <w:rsid w:val="004B6FC9"/>
    <w:rsid w:val="004D0756"/>
    <w:rsid w:val="004D70B9"/>
    <w:rsid w:val="00526C38"/>
    <w:rsid w:val="00526E44"/>
    <w:rsid w:val="005746E2"/>
    <w:rsid w:val="00586253"/>
    <w:rsid w:val="00614E4E"/>
    <w:rsid w:val="00651240"/>
    <w:rsid w:val="00664AC3"/>
    <w:rsid w:val="0067660F"/>
    <w:rsid w:val="00677883"/>
    <w:rsid w:val="006F2737"/>
    <w:rsid w:val="00746702"/>
    <w:rsid w:val="00747265"/>
    <w:rsid w:val="00762EBF"/>
    <w:rsid w:val="00781D64"/>
    <w:rsid w:val="007F079C"/>
    <w:rsid w:val="00824650"/>
    <w:rsid w:val="00843D70"/>
    <w:rsid w:val="00862CFC"/>
    <w:rsid w:val="008A57BB"/>
    <w:rsid w:val="008D1058"/>
    <w:rsid w:val="008F1F37"/>
    <w:rsid w:val="009141DA"/>
    <w:rsid w:val="00927CA0"/>
    <w:rsid w:val="00932583"/>
    <w:rsid w:val="0094133E"/>
    <w:rsid w:val="00952DF8"/>
    <w:rsid w:val="009C7360"/>
    <w:rsid w:val="009C7C2B"/>
    <w:rsid w:val="009F1692"/>
    <w:rsid w:val="00A038D1"/>
    <w:rsid w:val="00A13B9C"/>
    <w:rsid w:val="00A45DDF"/>
    <w:rsid w:val="00A5443D"/>
    <w:rsid w:val="00AB085A"/>
    <w:rsid w:val="00AC4144"/>
    <w:rsid w:val="00AC49DB"/>
    <w:rsid w:val="00AE31EF"/>
    <w:rsid w:val="00AF1686"/>
    <w:rsid w:val="00AF1BC4"/>
    <w:rsid w:val="00B2699C"/>
    <w:rsid w:val="00B44844"/>
    <w:rsid w:val="00B57A4B"/>
    <w:rsid w:val="00B663A4"/>
    <w:rsid w:val="00B851FB"/>
    <w:rsid w:val="00BA7D46"/>
    <w:rsid w:val="00BB102C"/>
    <w:rsid w:val="00BC57D6"/>
    <w:rsid w:val="00C92AB1"/>
    <w:rsid w:val="00CB07BD"/>
    <w:rsid w:val="00CD4D53"/>
    <w:rsid w:val="00CE0378"/>
    <w:rsid w:val="00D06A03"/>
    <w:rsid w:val="00D52044"/>
    <w:rsid w:val="00D672D8"/>
    <w:rsid w:val="00D76072"/>
    <w:rsid w:val="00DA04CC"/>
    <w:rsid w:val="00E07150"/>
    <w:rsid w:val="00E639E9"/>
    <w:rsid w:val="00E72625"/>
    <w:rsid w:val="00E87A8C"/>
    <w:rsid w:val="00EB4C76"/>
    <w:rsid w:val="00EB6D82"/>
    <w:rsid w:val="00F25C1B"/>
    <w:rsid w:val="00F4470D"/>
    <w:rsid w:val="00F46A14"/>
    <w:rsid w:val="00FA5F63"/>
    <w:rsid w:val="00FE5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836ECB"/>
  <w15:chartTrackingRefBased/>
  <w15:docId w15:val="{DB94E784-96F1-42DA-BB68-F0D9F10A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0B9"/>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3865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74C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74C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058"/>
    <w:pPr>
      <w:ind w:left="720"/>
      <w:contextualSpacing/>
    </w:pPr>
  </w:style>
  <w:style w:type="paragraph" w:styleId="BalloonText">
    <w:name w:val="Balloon Text"/>
    <w:basedOn w:val="Normal"/>
    <w:link w:val="BalloonTextChar"/>
    <w:uiPriority w:val="99"/>
    <w:semiHidden/>
    <w:unhideWhenUsed/>
    <w:rsid w:val="00195F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5FF2"/>
    <w:rPr>
      <w:rFonts w:ascii="Times New Roman" w:hAnsi="Times New Roman" w:cs="Times New Roman"/>
      <w:sz w:val="18"/>
      <w:szCs w:val="18"/>
    </w:rPr>
  </w:style>
  <w:style w:type="table" w:styleId="TableGrid">
    <w:name w:val="Table Grid"/>
    <w:basedOn w:val="TableNormal"/>
    <w:uiPriority w:val="39"/>
    <w:rsid w:val="00016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4E4E"/>
    <w:pPr>
      <w:tabs>
        <w:tab w:val="center" w:pos="4513"/>
        <w:tab w:val="right" w:pos="9026"/>
      </w:tabs>
    </w:pPr>
  </w:style>
  <w:style w:type="character" w:customStyle="1" w:styleId="HeaderChar">
    <w:name w:val="Header Char"/>
    <w:basedOn w:val="DefaultParagraphFont"/>
    <w:link w:val="Header"/>
    <w:uiPriority w:val="99"/>
    <w:rsid w:val="00614E4E"/>
    <w:rPr>
      <w:rFonts w:ascii="Calibri" w:hAnsi="Calibri" w:cs="Calibri"/>
      <w:sz w:val="24"/>
      <w:szCs w:val="24"/>
    </w:rPr>
  </w:style>
  <w:style w:type="paragraph" w:styleId="Footer">
    <w:name w:val="footer"/>
    <w:basedOn w:val="Normal"/>
    <w:link w:val="FooterChar"/>
    <w:uiPriority w:val="99"/>
    <w:unhideWhenUsed/>
    <w:rsid w:val="00614E4E"/>
    <w:pPr>
      <w:tabs>
        <w:tab w:val="center" w:pos="4513"/>
        <w:tab w:val="right" w:pos="9026"/>
      </w:tabs>
    </w:pPr>
  </w:style>
  <w:style w:type="character" w:customStyle="1" w:styleId="FooterChar">
    <w:name w:val="Footer Char"/>
    <w:basedOn w:val="DefaultParagraphFont"/>
    <w:link w:val="Footer"/>
    <w:uiPriority w:val="99"/>
    <w:rsid w:val="00614E4E"/>
    <w:rPr>
      <w:rFonts w:ascii="Calibri" w:hAnsi="Calibri" w:cs="Calibri"/>
      <w:sz w:val="24"/>
      <w:szCs w:val="24"/>
    </w:rPr>
  </w:style>
  <w:style w:type="character" w:customStyle="1" w:styleId="Heading1Char">
    <w:name w:val="Heading 1 Char"/>
    <w:basedOn w:val="DefaultParagraphFont"/>
    <w:link w:val="Heading1"/>
    <w:uiPriority w:val="9"/>
    <w:rsid w:val="00386506"/>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38650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4AE9"/>
    <w:rPr>
      <w:sz w:val="16"/>
      <w:szCs w:val="16"/>
    </w:rPr>
  </w:style>
  <w:style w:type="paragraph" w:styleId="CommentText">
    <w:name w:val="annotation text"/>
    <w:basedOn w:val="Normal"/>
    <w:link w:val="CommentTextChar"/>
    <w:uiPriority w:val="99"/>
    <w:semiHidden/>
    <w:unhideWhenUsed/>
    <w:rsid w:val="00414AE9"/>
    <w:rPr>
      <w:sz w:val="20"/>
      <w:szCs w:val="20"/>
    </w:rPr>
  </w:style>
  <w:style w:type="character" w:customStyle="1" w:styleId="CommentTextChar">
    <w:name w:val="Comment Text Char"/>
    <w:basedOn w:val="DefaultParagraphFont"/>
    <w:link w:val="CommentText"/>
    <w:uiPriority w:val="99"/>
    <w:semiHidden/>
    <w:rsid w:val="00414AE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4AE9"/>
    <w:rPr>
      <w:b/>
      <w:bCs/>
    </w:rPr>
  </w:style>
  <w:style w:type="character" w:customStyle="1" w:styleId="CommentSubjectChar">
    <w:name w:val="Comment Subject Char"/>
    <w:basedOn w:val="CommentTextChar"/>
    <w:link w:val="CommentSubject"/>
    <w:uiPriority w:val="99"/>
    <w:semiHidden/>
    <w:rsid w:val="00414AE9"/>
    <w:rPr>
      <w:rFonts w:ascii="Calibri" w:hAnsi="Calibri" w:cs="Calibri"/>
      <w:b/>
      <w:bCs/>
      <w:sz w:val="20"/>
      <w:szCs w:val="20"/>
    </w:rPr>
  </w:style>
  <w:style w:type="character" w:styleId="Hyperlink">
    <w:name w:val="Hyperlink"/>
    <w:basedOn w:val="DefaultParagraphFont"/>
    <w:uiPriority w:val="99"/>
    <w:unhideWhenUsed/>
    <w:rsid w:val="006F2737"/>
    <w:rPr>
      <w:color w:val="0563C1" w:themeColor="hyperlink"/>
      <w:u w:val="single"/>
    </w:rPr>
  </w:style>
  <w:style w:type="paragraph" w:styleId="NoSpacing">
    <w:name w:val="No Spacing"/>
    <w:uiPriority w:val="1"/>
    <w:qFormat/>
    <w:rsid w:val="006F2737"/>
    <w:pPr>
      <w:spacing w:after="0" w:line="240" w:lineRule="auto"/>
    </w:pPr>
    <w:rPr>
      <w:rFonts w:ascii="Calibri" w:eastAsia="Calibri" w:hAnsi="Calibri" w:cs="Calibri"/>
      <w:color w:val="000000"/>
      <w:lang w:eastAsia="en-GB"/>
    </w:rPr>
  </w:style>
  <w:style w:type="character" w:customStyle="1" w:styleId="Heading2Char">
    <w:name w:val="Heading 2 Char"/>
    <w:basedOn w:val="DefaultParagraphFont"/>
    <w:link w:val="Heading2"/>
    <w:uiPriority w:val="9"/>
    <w:rsid w:val="000D74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D74CA"/>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1420E4"/>
    <w:pPr>
      <w:spacing w:after="0" w:line="240" w:lineRule="auto"/>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30470">
      <w:bodyDiv w:val="1"/>
      <w:marLeft w:val="0"/>
      <w:marRight w:val="0"/>
      <w:marTop w:val="0"/>
      <w:marBottom w:val="0"/>
      <w:divBdr>
        <w:top w:val="none" w:sz="0" w:space="0" w:color="auto"/>
        <w:left w:val="none" w:sz="0" w:space="0" w:color="auto"/>
        <w:bottom w:val="none" w:sz="0" w:space="0" w:color="auto"/>
        <w:right w:val="none" w:sz="0" w:space="0" w:color="auto"/>
      </w:divBdr>
    </w:div>
    <w:div w:id="1306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histleblowing@sru.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Gemmell</dc:creator>
  <cp:keywords/>
  <dc:description/>
  <cp:lastModifiedBy>Angela McCracken</cp:lastModifiedBy>
  <cp:revision>2</cp:revision>
  <dcterms:created xsi:type="dcterms:W3CDTF">2024-03-26T10:07:00Z</dcterms:created>
  <dcterms:modified xsi:type="dcterms:W3CDTF">2024-03-26T10:07:00Z</dcterms:modified>
</cp:coreProperties>
</file>